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color w:val="000000"/>
          <w:sz w:val="96"/>
          <w:szCs w:val="96"/>
        </w:rPr>
      </w:pPr>
      <w:r>
        <w:rPr>
          <w:sz w:val="84"/>
          <w:szCs w:val="84"/>
        </w:rPr>
        <w:t>2018</w:t>
      </w:r>
      <w:r>
        <w:rPr>
          <w:rFonts w:hint="eastAsia"/>
          <w:sz w:val="84"/>
          <w:szCs w:val="84"/>
        </w:rPr>
        <w:t>年度部门决算公开</w:t>
      </w:r>
    </w:p>
    <w:p>
      <w:pPr>
        <w:widowControl/>
        <w:jc w:val="center"/>
        <w:rPr>
          <w:rFonts w:ascii="黑体" w:hAnsi="宋体" w:eastAsia="黑体"/>
          <w:color w:val="002060"/>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b/>
          <w:sz w:val="44"/>
          <w:szCs w:val="44"/>
          <w:lang w:eastAsia="zh-CN"/>
        </w:rPr>
        <w:t>香河县地方志编纂委员会办公室</w:t>
      </w:r>
    </w:p>
    <w:p>
      <w:pPr>
        <w:spacing w:beforeLines="200" w:after="0" w:line="1000" w:lineRule="exact"/>
        <w:jc w:val="center"/>
        <w:rPr>
          <w:rFonts w:ascii="黑体" w:eastAsia="黑体"/>
          <w:sz w:val="48"/>
          <w:szCs w:val="48"/>
        </w:rPr>
      </w:pP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eastAsia="zh-CN"/>
        </w:rPr>
        <w:t>香河县地方志编纂委员会办公室</w:t>
      </w:r>
      <w:r>
        <w:rPr>
          <w:rFonts w:hint="eastAsia" w:eastAsia="黑体"/>
          <w:sz w:val="32"/>
          <w:szCs w:val="32"/>
        </w:rPr>
        <w:t>部门</w:t>
      </w:r>
      <w:r>
        <w:rPr>
          <w:rFonts w:eastAsia="黑体"/>
          <w:sz w:val="32"/>
          <w:szCs w:val="32"/>
        </w:rPr>
        <w:t>2018</w:t>
      </w:r>
      <w:r>
        <w:rPr>
          <w:rFonts w:hint="eastAsia" w:eastAsia="黑体"/>
          <w:sz w:val="32"/>
          <w:szCs w:val="32"/>
        </w:rPr>
        <w:t>年部门决算情况说明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sz w:val="96"/>
          <w:szCs w:val="96"/>
        </w:rPr>
      </w:pPr>
      <w:r>
        <w:rPr>
          <w:rFonts w:hint="eastAsia" w:ascii="黑体" w:hAnsi="宋体" w:eastAsia="黑体"/>
          <w:color w:val="000000"/>
          <w:sz w:val="96"/>
          <w:szCs w:val="96"/>
        </w:rPr>
        <w:t>第一部分</w:t>
      </w:r>
      <w:r>
        <w:rPr>
          <w:rFonts w:ascii="黑体" w:hAnsi="宋体" w:eastAsia="黑体"/>
          <w:color w:val="000000"/>
          <w:sz w:val="96"/>
          <w:szCs w:val="96"/>
        </w:rPr>
        <w:t xml:space="preserve">  </w:t>
      </w:r>
      <w:r>
        <w:rPr>
          <w:rFonts w:hint="eastAsia" w:ascii="黑体" w:hAnsi="宋体" w:eastAsia="黑体"/>
          <w:color w:val="000000"/>
          <w:sz w:val="96"/>
          <w:szCs w:val="96"/>
        </w:rPr>
        <w:t>部门概况</w:t>
      </w:r>
    </w:p>
    <w:p/>
    <w:p/>
    <w:p/>
    <w:p/>
    <w:p/>
    <w:p/>
    <w:p/>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一、部门职责</w:t>
      </w:r>
    </w:p>
    <w:p>
      <w:pPr>
        <w:pStyle w:val="32"/>
        <w:numPr>
          <w:ilvl w:val="0"/>
          <w:numId w:val="0"/>
        </w:numPr>
        <w:rPr>
          <w:rFonts w:ascii="仿宋" w:hAnsi="仿宋" w:eastAsia="仿宋"/>
          <w:sz w:val="32"/>
          <w:szCs w:val="32"/>
        </w:rPr>
      </w:pPr>
      <w:r>
        <w:rPr>
          <w:rFonts w:hint="eastAsia" w:ascii="仿宋" w:hAnsi="仿宋" w:eastAsia="仿宋"/>
          <w:sz w:val="32"/>
          <w:szCs w:val="32"/>
          <w:lang w:eastAsia="zh-CN"/>
        </w:rPr>
        <w:t>（一）</w:t>
      </w:r>
      <w:r>
        <w:rPr>
          <w:rFonts w:hint="eastAsia" w:ascii="仿宋" w:hAnsi="仿宋" w:eastAsia="仿宋"/>
          <w:sz w:val="32"/>
          <w:szCs w:val="32"/>
        </w:rPr>
        <w:t>编写《香河县志》</w:t>
      </w:r>
    </w:p>
    <w:p>
      <w:pPr>
        <w:pStyle w:val="32"/>
        <w:numPr>
          <w:ilvl w:val="0"/>
          <w:numId w:val="0"/>
        </w:numPr>
        <w:ind w:firstLine="640" w:firstLineChars="200"/>
        <w:rPr>
          <w:rFonts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制定县志纲目。志书的基础在于纲目，只有制定出好的志书纲目，才能为志书的编纂打下良好基础。</w:t>
      </w:r>
    </w:p>
    <w:p>
      <w:pPr>
        <w:pStyle w:val="32"/>
        <w:numPr>
          <w:ilvl w:val="0"/>
          <w:numId w:val="0"/>
        </w:numPr>
        <w:ind w:firstLine="640" w:firstLineChars="200"/>
        <w:rPr>
          <w:rFonts w:ascii="仿宋" w:hAnsi="仿宋" w:eastAsia="仿宋"/>
          <w:sz w:val="32"/>
          <w:szCs w:val="32"/>
        </w:rPr>
      </w:pPr>
      <w:r>
        <w:rPr>
          <w:rFonts w:hint="eastAsia" w:ascii="仿宋" w:hAnsi="仿宋" w:eastAsia="仿宋"/>
          <w:sz w:val="32"/>
          <w:szCs w:val="32"/>
          <w:lang w:val="en-US" w:eastAsia="zh-CN"/>
        </w:rPr>
        <w:t>2.</w:t>
      </w:r>
      <w:r>
        <w:rPr>
          <w:rFonts w:hint="eastAsia" w:ascii="仿宋" w:hAnsi="仿宋" w:eastAsia="仿宋"/>
          <w:sz w:val="32"/>
          <w:szCs w:val="32"/>
        </w:rPr>
        <w:t>搜集整理县志资料。根据县志纲目列出系统的调查提纲，深入各单位调查县志所需资料，并根据调查的资料进行鉴别、整理、编写短篇。</w:t>
      </w:r>
    </w:p>
    <w:p>
      <w:pPr>
        <w:pStyle w:val="32"/>
        <w:numPr>
          <w:ilvl w:val="0"/>
          <w:numId w:val="0"/>
        </w:numPr>
        <w:ind w:firstLine="640" w:firstLineChars="200"/>
        <w:rPr>
          <w:rFonts w:ascii="仿宋" w:hAnsi="仿宋" w:eastAsia="仿宋"/>
          <w:sz w:val="32"/>
          <w:szCs w:val="32"/>
        </w:rPr>
      </w:pPr>
      <w:r>
        <w:rPr>
          <w:rFonts w:hint="eastAsia" w:ascii="仿宋" w:hAnsi="仿宋" w:eastAsia="仿宋"/>
          <w:sz w:val="32"/>
          <w:szCs w:val="32"/>
          <w:lang w:val="en-US" w:eastAsia="zh-CN"/>
        </w:rPr>
        <w:t>3.</w:t>
      </w:r>
      <w:r>
        <w:rPr>
          <w:rFonts w:hint="eastAsia" w:ascii="仿宋" w:hAnsi="仿宋" w:eastAsia="仿宋"/>
          <w:sz w:val="32"/>
          <w:szCs w:val="32"/>
        </w:rPr>
        <w:t>统编志书。志书为百科全书，内容无所不有，在统编过程中既要考虑编、章、节的衔接，又不能重复；既要反映出新的观点，又不能发议论，寓观点于秉笔直书之中。</w:t>
      </w:r>
    </w:p>
    <w:p>
      <w:pPr>
        <w:pStyle w:val="32"/>
        <w:numPr>
          <w:ilvl w:val="0"/>
          <w:numId w:val="0"/>
        </w:numPr>
        <w:rPr>
          <w:rFonts w:hint="eastAsia" w:ascii="仿宋" w:hAnsi="仿宋" w:eastAsia="仿宋"/>
          <w:sz w:val="32"/>
          <w:szCs w:val="32"/>
        </w:rPr>
      </w:pPr>
      <w:r>
        <w:rPr>
          <w:rFonts w:hint="eastAsia" w:ascii="仿宋" w:hAnsi="仿宋" w:eastAsia="仿宋"/>
          <w:sz w:val="32"/>
          <w:szCs w:val="32"/>
          <w:lang w:val="en-US" w:eastAsia="zh-CN"/>
        </w:rPr>
        <w:t>（二）</w:t>
      </w:r>
      <w:r>
        <w:rPr>
          <w:rFonts w:hint="eastAsia" w:ascii="仿宋" w:hAnsi="仿宋" w:eastAsia="仿宋"/>
          <w:sz w:val="32"/>
          <w:szCs w:val="32"/>
        </w:rPr>
        <w:t>参与上级志书、年鉴等的编纂</w:t>
      </w:r>
    </w:p>
    <w:p>
      <w:pPr>
        <w:pStyle w:val="32"/>
        <w:numPr>
          <w:ilvl w:val="0"/>
          <w:numId w:val="0"/>
        </w:numPr>
        <w:ind w:firstLine="640" w:firstLineChars="200"/>
        <w:rPr>
          <w:rFonts w:ascii="仿宋" w:hAnsi="仿宋" w:eastAsia="仿宋"/>
          <w:sz w:val="32"/>
          <w:szCs w:val="32"/>
        </w:rPr>
      </w:pPr>
      <w:r>
        <w:rPr>
          <w:rFonts w:hint="eastAsia" w:ascii="仿宋" w:hAnsi="仿宋" w:eastAsia="仿宋"/>
          <w:sz w:val="32"/>
          <w:szCs w:val="32"/>
        </w:rPr>
        <w:t>除本县志书的编写任务外，国家、省、市、县还随时下达一些编写任务，尤其是《河北年鉴》和《廊坊年鉴》的编写，县志办要按照上级的安排部署，按质按量及时完成上级下达的编写任务。</w:t>
      </w:r>
    </w:p>
    <w:p>
      <w:pPr>
        <w:pStyle w:val="32"/>
        <w:numPr>
          <w:ilvl w:val="0"/>
          <w:numId w:val="0"/>
        </w:numPr>
        <w:rPr>
          <w:rFonts w:ascii="仿宋" w:hAnsi="仿宋" w:eastAsia="仿宋"/>
          <w:sz w:val="32"/>
          <w:szCs w:val="32"/>
        </w:rPr>
      </w:pPr>
      <w:r>
        <w:rPr>
          <w:rFonts w:hint="eastAsia" w:ascii="仿宋" w:hAnsi="仿宋" w:eastAsia="仿宋"/>
          <w:sz w:val="32"/>
          <w:szCs w:val="32"/>
          <w:lang w:eastAsia="zh-CN"/>
        </w:rPr>
        <w:t>（三）</w:t>
      </w:r>
      <w:r>
        <w:rPr>
          <w:rFonts w:hint="eastAsia" w:ascii="仿宋" w:hAnsi="仿宋" w:eastAsia="仿宋"/>
          <w:sz w:val="32"/>
          <w:szCs w:val="32"/>
        </w:rPr>
        <w:t>指导基层志书的编纂</w:t>
      </w:r>
    </w:p>
    <w:p>
      <w:pPr>
        <w:pStyle w:val="32"/>
        <w:ind w:left="0" w:leftChars="0" w:firstLine="640" w:firstLineChars="200"/>
        <w:rPr>
          <w:rFonts w:ascii="仿宋" w:hAnsi="仿宋" w:eastAsia="仿宋"/>
          <w:sz w:val="32"/>
          <w:szCs w:val="32"/>
        </w:rPr>
      </w:pPr>
      <w:r>
        <w:rPr>
          <w:rFonts w:hint="eastAsia" w:ascii="仿宋" w:hAnsi="仿宋" w:eastAsia="仿宋"/>
          <w:sz w:val="32"/>
          <w:szCs w:val="32"/>
        </w:rPr>
        <w:t>随着志书编纂业务范围的扩大，许多基层单位将逐步开展志书的编纂工作，比如厂志、院志、机关志、乡镇志、村志等。县志办公室负责对基层志书编纂的业务指导，保证基层志书的质量。</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lang w:eastAsia="zh-CN"/>
              </w:rPr>
              <w:t>香河县地方志编纂委员会办公室</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445"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财政补助事业单位</w:t>
            </w:r>
          </w:p>
        </w:tc>
        <w:tc>
          <w:tcPr>
            <w:tcW w:w="2665" w:type="dxa"/>
          </w:tcPr>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Cambria"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85" w:type="dxa"/>
          </w:tcPr>
          <w:p>
            <w:pPr>
              <w:spacing w:after="0" w:line="560" w:lineRule="exact"/>
              <w:rPr>
                <w:rFonts w:ascii="仿宋_GB2312" w:hAnsi="Cambria" w:eastAsia="仿宋_GB2312" w:cs="ArialUnicodeMS"/>
                <w:kern w:val="0"/>
                <w:sz w:val="28"/>
                <w:szCs w:val="28"/>
              </w:rPr>
            </w:pP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w:t>
            </w:r>
          </w:p>
        </w:tc>
        <w:tc>
          <w:tcPr>
            <w:tcW w:w="3485" w:type="dxa"/>
          </w:tcPr>
          <w:p>
            <w:pPr>
              <w:spacing w:after="0" w:line="560" w:lineRule="exact"/>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w:t>
            </w:r>
          </w:p>
        </w:tc>
        <w:tc>
          <w:tcPr>
            <w:tcW w:w="2445" w:type="dxa"/>
          </w:tcPr>
          <w:p>
            <w:pPr>
              <w:spacing w:after="0" w:line="560" w:lineRule="exact"/>
              <w:jc w:val="center"/>
              <w:rPr>
                <w:rFonts w:ascii="仿宋_GB2312" w:hAnsi="Cambria" w:eastAsia="仿宋_GB2312" w:cs="ArialUnicodeMS"/>
                <w:kern w:val="0"/>
                <w:sz w:val="28"/>
                <w:szCs w:val="28"/>
              </w:rPr>
            </w:pPr>
          </w:p>
        </w:tc>
        <w:tc>
          <w:tcPr>
            <w:tcW w:w="2665" w:type="dxa"/>
          </w:tcPr>
          <w:p>
            <w:pPr>
              <w:spacing w:after="0" w:line="560" w:lineRule="exact"/>
              <w:jc w:val="center"/>
              <w:rPr>
                <w:rFonts w:ascii="仿宋_GB2312" w:hAnsi="Cambria" w:eastAsia="仿宋_GB2312" w:cs="ArialUnicodeM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both"/>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r>
        <w:rPr>
          <w:rFonts w:hint="eastAsia" w:ascii="黑体" w:hAnsi="宋体" w:eastAsia="黑体"/>
          <w:color w:val="000000"/>
          <w:sz w:val="72"/>
          <w:szCs w:val="96"/>
        </w:rPr>
        <w:t>第二部分</w:t>
      </w:r>
    </w:p>
    <w:p>
      <w:pPr>
        <w:widowControl/>
        <w:spacing w:line="1200" w:lineRule="exact"/>
        <w:jc w:val="center"/>
        <w:rPr>
          <w:color w:val="000000"/>
          <w:sz w:val="72"/>
          <w:szCs w:val="96"/>
        </w:rPr>
      </w:pPr>
      <w:r>
        <w:rPr>
          <w:rFonts w:ascii="黑体" w:hAnsi="宋体" w:eastAsia="黑体"/>
          <w:color w:val="000000"/>
          <w:sz w:val="72"/>
          <w:szCs w:val="96"/>
        </w:rPr>
        <w:t>2018</w:t>
      </w:r>
      <w:r>
        <w:rPr>
          <w:rFonts w:hint="eastAsia" w:ascii="黑体" w:hAnsi="宋体" w:eastAsia="黑体"/>
          <w:color w:val="000000"/>
          <w:sz w:val="72"/>
          <w:szCs w:val="96"/>
        </w:rPr>
        <w:t>年度部门决算报表</w:t>
      </w: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jc w:val="left"/>
        <w:rPr>
          <w:rFonts w:hint="eastAsia" w:ascii="宋体" w:hAnsi="宋体" w:eastAsia="宋体" w:cs="宋体"/>
          <w:i w:val="0"/>
          <w:color w:val="000000"/>
          <w:kern w:val="0"/>
          <w:sz w:val="30"/>
          <w:szCs w:val="30"/>
          <w:u w:val="none"/>
          <w:lang w:val="en-US" w:eastAsia="zh-CN" w:bidi="ar"/>
        </w:rPr>
        <w:sectPr>
          <w:pgSz w:w="11906" w:h="16838"/>
          <w:pgMar w:top="2098" w:right="1474" w:bottom="1984" w:left="1588" w:header="851" w:footer="992" w:gutter="0"/>
          <w:cols w:space="0" w:num="1"/>
          <w:docGrid w:type="lines" w:linePitch="312" w:charSpace="0"/>
        </w:sectPr>
      </w:pPr>
      <w:r>
        <w:rPr>
          <w:rFonts w:hint="eastAsia" w:ascii="宋体" w:hAnsi="宋体" w:eastAsia="宋体" w:cs="宋体"/>
          <w:i w:val="0"/>
          <w:color w:val="000000"/>
          <w:kern w:val="0"/>
          <w:sz w:val="30"/>
          <w:szCs w:val="30"/>
          <w:u w:val="none"/>
          <w:lang w:val="en-US" w:eastAsia="zh-CN" w:bidi="ar"/>
        </w:rPr>
        <w:object>
          <v:shape id="_x0000_i1025" o:spt="75" type="#_x0000_t75" style="height:523.35pt;width:467.4pt;" o:ole="t" filled="f" o:preferrelative="t" stroked="f" coordsize="21600,21600">
            <v:path/>
            <v:fill on="f" focussize="0,0"/>
            <v:stroke on="f"/>
            <v:imagedata r:id="rId5" o:title=""/>
            <o:lock v:ext="edit" aspectratio="f"/>
            <w10:wrap type="none"/>
            <w10:anchorlock/>
          </v:shape>
          <o:OLEObject Type="Embed" ProgID="Excel.Sheet.12" ShapeID="_x0000_i1025" DrawAspect="Content" ObjectID="_1468075725" r:id="rId4">
            <o:LockedField>false</o:LockedField>
          </o:OLEObject>
        </w:object>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ascii="仿宋_GB2312" w:hAnsi="宋体" w:eastAsia="仿宋_GB2312"/>
          <w:b/>
          <w:sz w:val="28"/>
          <w:szCs w:val="28"/>
          <w:highlight w:val="yellow"/>
        </w:rPr>
        <w:pict>
          <v:shape id="_x0000_s1027" o:spid="_x0000_s1027" o:spt="75" type="#_x0000_t75" style="position:absolute;left:0pt;margin-left:-8.25pt;margin-top:19.6pt;height:375.45pt;width:459.25pt;mso-wrap-distance-bottom:0pt;mso-wrap-distance-top:0pt;z-index:251658240;mso-width-relative:page;mso-height-relative:page;" o:ole="t" filled="f" o:preferrelative="t" stroked="f" coordsize="21600,21600">
            <v:path/>
            <v:fill on="f" focussize="0,0"/>
            <v:stroke on="f"/>
            <v:imagedata r:id="rId7" o:title=""/>
            <o:lock v:ext="edit" aspectratio="f"/>
            <w10:wrap type="topAndBottom"/>
          </v:shape>
          <o:OLEObject Type="Embed" ProgID="Excel.Sheet.12" ShapeID="_x0000_s1027" DrawAspect="Content" ObjectID="_1468075726" r:id="rId6">
            <o:LockedField>false</o:LockedField>
          </o:OLEObject>
        </w:pict>
      </w:r>
    </w:p>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ascii="仿宋_GB2312" w:hAnsi="宋体" w:eastAsia="仿宋_GB2312"/>
          <w:b/>
          <w:sz w:val="28"/>
          <w:szCs w:val="28"/>
          <w:highlight w:val="yellow"/>
        </w:rPr>
        <w:pict>
          <v:shape id="_x0000_s1028" o:spid="_x0000_s1028" o:spt="75" type="#_x0000_t75" style="position:absolute;left:0pt;margin-left:-5.75pt;margin-top:26.35pt;height:408pt;width:451.75pt;mso-wrap-distance-bottom:0pt;mso-wrap-distance-top:0pt;z-index:251659264;mso-width-relative:page;mso-height-relative:page;" o:ole="t" filled="f" o:preferrelative="t" stroked="f" coordsize="21600,21600">
            <v:path/>
            <v:fill on="f" focussize="0,0"/>
            <v:stroke on="f"/>
            <v:imagedata r:id="rId9" o:title=""/>
            <o:lock v:ext="edit" aspectratio="f"/>
            <w10:wrap type="topAndBottom"/>
          </v:shape>
          <o:OLEObject Type="Embed" ProgID="Excel.Sheet.12" ShapeID="_x0000_s1028" DrawAspect="Content" ObjectID="_1468075727" r:id="rId8">
            <o:LockedField>false</o:LockedField>
          </o:OLEObject>
        </w:pict>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ascii="仿宋_GB2312" w:hAnsi="宋体" w:eastAsia="仿宋_GB2312"/>
          <w:b/>
          <w:sz w:val="28"/>
          <w:szCs w:val="28"/>
          <w:highlight w:val="yellow"/>
        </w:rPr>
        <w:pict>
          <v:shape id="_x0000_s1029" o:spid="_x0000_s1029" o:spt="75" type="#_x0000_t75" style="position:absolute;left:0pt;margin-left:-21pt;margin-top:32.35pt;height:569.45pt;width:473.35pt;mso-wrap-distance-bottom:0pt;mso-wrap-distance-top:0pt;z-index:251660288;mso-width-relative:page;mso-height-relative:page;" o:ole="t" filled="f" o:preferrelative="t" stroked="f" coordsize="21600,21600" o:allowoverlap="f">
            <v:path/>
            <v:fill on="f" focussize="0,0"/>
            <v:stroke on="f"/>
            <v:imagedata r:id="rId11" o:title=""/>
            <o:lock v:ext="edit" aspectratio="f"/>
            <w10:wrap type="topAndBottom"/>
          </v:shape>
          <o:OLEObject Type="Embed" ProgID="Excel.Sheet.12" ShapeID="_x0000_s1029" DrawAspect="Content" ObjectID="_1468075728" r:id="rId10">
            <o:LockedField>false</o:LockedField>
          </o:OLEObject>
        </w:pict>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ascii="仿宋_GB2312" w:hAnsi="宋体" w:eastAsia="仿宋_GB2312"/>
          <w:b/>
          <w:sz w:val="28"/>
          <w:szCs w:val="28"/>
          <w:highlight w:val="yellow"/>
        </w:rPr>
        <w:pict>
          <v:shape id="_x0000_s1030" o:spid="_x0000_s1030" o:spt="75" type="#_x0000_t75" style="position:absolute;left:0pt;margin-left:-8.25pt;margin-top:17pt;height:446.25pt;width:460.5pt;mso-wrap-distance-bottom:0pt;mso-wrap-distance-top:0pt;z-index:251661312;mso-width-relative:page;mso-height-relative:page;" o:ole="t" filled="f" o:preferrelative="t" stroked="f" coordsize="21600,21600">
            <v:path/>
            <v:fill on="f" focussize="0,0"/>
            <v:stroke on="f"/>
            <v:imagedata r:id="rId13" o:title=""/>
            <o:lock v:ext="edit" aspectratio="f"/>
            <w10:wrap type="topAndBottom"/>
          </v:shape>
          <o:OLEObject Type="Embed" ProgID="Excel.Sheet.12" ShapeID="_x0000_s1030" DrawAspect="Content" ObjectID="_1468075729" r:id="rId12">
            <o:LockedField>false</o:LockedField>
          </o:OLEObject>
        </w:pict>
      </w:r>
    </w:p>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rPr>
          <w:rFonts w:ascii="仿宋_GB2312" w:hAnsi="宋体" w:eastAsia="仿宋_GB2312"/>
          <w:b/>
          <w:sz w:val="28"/>
          <w:szCs w:val="28"/>
          <w:highlight w:val="yellow"/>
        </w:rPr>
        <w:pict>
          <v:shape id="_x0000_s1031" o:spid="_x0000_s1031" o:spt="75" type="#_x0000_t75" style="position:absolute;left:0pt;margin-left:-29.25pt;margin-top:40.65pt;height:575.75pt;width:501.7pt;mso-wrap-distance-bottom:0pt;mso-wrap-distance-top:0pt;z-index:251662336;mso-width-relative:page;mso-height-relative:page;" o:ole="t" filled="f" o:preferrelative="t" stroked="f" coordsize="21600,21600">
            <v:path/>
            <v:fill on="f" focussize="0,0"/>
            <v:stroke on="f"/>
            <v:imagedata r:id="rId15" o:title=""/>
            <o:lock v:ext="edit" aspectratio="f"/>
            <w10:wrap type="topAndBottom"/>
          </v:shape>
          <o:OLEObject Type="Embed" ProgID="Excel.Sheet.12" ShapeID="_x0000_s1031" DrawAspect="Content" ObjectID="_1468075730" r:id="rId14">
            <o:LockedField>false</o:LockedField>
          </o:OLEObject>
        </w:pict>
      </w:r>
    </w:p>
    <w:tbl>
      <w:tblPr>
        <w:tblStyle w:val="12"/>
        <w:tblW w:w="8800" w:type="dxa"/>
        <w:jc w:val="center"/>
        <w:tblInd w:w="0" w:type="dxa"/>
        <w:tblLayout w:type="fixed"/>
        <w:tblCellMar>
          <w:top w:w="0" w:type="dxa"/>
          <w:left w:w="0" w:type="dxa"/>
          <w:bottom w:w="0" w:type="dxa"/>
          <w:right w:w="0" w:type="dxa"/>
        </w:tblCellMar>
      </w:tblPr>
      <w:tblGrid>
        <w:gridCol w:w="1158"/>
        <w:gridCol w:w="1527"/>
        <w:gridCol w:w="1528"/>
        <w:gridCol w:w="1530"/>
        <w:gridCol w:w="1530"/>
        <w:gridCol w:w="1527"/>
      </w:tblGrid>
      <w:tr>
        <w:tblPrEx>
          <w:tblLayout w:type="fixed"/>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Layout w:type="fixed"/>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Layout w:type="fixed"/>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eastAsia="宋体" w:cs="宋体"/>
                <w:color w:val="000000"/>
                <w:sz w:val="20"/>
                <w:szCs w:val="20"/>
                <w:lang w:val="en-US"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香河县地方志编纂委员会办公室</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Layout w:type="fixed"/>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1.9</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1.9</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1.9</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Layout w:type="fixed"/>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0.4</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Layout w:type="fixed"/>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Layout w:type="fixed"/>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Layout w:type="fixed"/>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部门：廊坊市香河县地方志编纂委员会办公室（本级）</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Layout w:type="fixed"/>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Layout w:type="fixed"/>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注：本表反映部门本年度政府性基金预算财政拨款收入、支出及结转和结余情况。本部门本年度无收支及结转结余情况，按要求以空表列示。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Layout w:type="fixed"/>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Layout w:type="fixed"/>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Layout w:type="fixed"/>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hint="eastAsia" w:ascii="宋体" w:eastAsia="宋体" w:cs="宋体"/>
                <w:color w:val="000000"/>
                <w:sz w:val="22"/>
                <w:szCs w:val="22"/>
                <w:lang w:eastAsia="zh-CN"/>
              </w:rPr>
            </w:pPr>
            <w:r>
              <w:rPr>
                <w:rFonts w:hint="eastAsia" w:ascii="宋体" w:hAnsi="宋体" w:cs="宋体"/>
                <w:color w:val="000000"/>
                <w:kern w:val="0"/>
                <w:sz w:val="22"/>
                <w:szCs w:val="22"/>
              </w:rPr>
              <w:t>编制单位：</w:t>
            </w:r>
            <w:r>
              <w:rPr>
                <w:rFonts w:hint="eastAsia" w:ascii="宋体" w:hAnsi="宋体" w:cs="宋体"/>
                <w:color w:val="000000"/>
                <w:kern w:val="0"/>
                <w:sz w:val="22"/>
                <w:szCs w:val="22"/>
                <w:lang w:eastAsia="zh-CN"/>
              </w:rPr>
              <w:t>香河县地方志编纂委员会办公室</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Layout w:type="fixed"/>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Layout w:type="fixed"/>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Layout w:type="fixed"/>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注：本表反映部门本年度国有资本经营预算财政拨款支出情况。本部门本年度无收支及结转结余情况，按要求以空表列示。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Layout w:type="fixed"/>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Layout w:type="fixed"/>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Layout w:type="fixed"/>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eastAsia="宋体" w:cs="宋体"/>
                <w:color w:val="000000"/>
                <w:szCs w:val="21"/>
                <w:lang w:eastAsia="zh-CN"/>
              </w:rPr>
            </w:pPr>
            <w:r>
              <w:rPr>
                <w:rFonts w:hint="eastAsia" w:ascii="宋体" w:hAnsi="宋体" w:cs="宋体"/>
                <w:color w:val="000000"/>
                <w:kern w:val="0"/>
                <w:szCs w:val="21"/>
              </w:rPr>
              <w:t>编制单位：</w:t>
            </w:r>
            <w:r>
              <w:rPr>
                <w:rFonts w:hint="eastAsia" w:ascii="宋体" w:hAnsi="宋体" w:cs="宋体"/>
                <w:color w:val="000000"/>
                <w:kern w:val="0"/>
                <w:szCs w:val="21"/>
                <w:lang w:eastAsia="zh-CN"/>
              </w:rPr>
              <w:t>香河县地方志编纂委员会办公室</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Layout w:type="fixed"/>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Layout w:type="fixed"/>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Layout w:type="fixed"/>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Layout w:type="fixed"/>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Layout w:type="fixed"/>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注：本表反映部门本年度纳入部门预算范围的政府采购预算及支出情况。本部门本年度无预算及支出情况，按要求以空表列示。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r>
        <w:rPr>
          <w:rFonts w:hint="eastAsia" w:ascii="黑体" w:hAnsi="宋体" w:eastAsia="黑体"/>
          <w:color w:val="000000"/>
          <w:sz w:val="96"/>
          <w:szCs w:val="96"/>
        </w:rPr>
        <w:t>第三部分</w:t>
      </w:r>
    </w:p>
    <w:p>
      <w:pPr>
        <w:widowControl/>
        <w:spacing w:line="1200" w:lineRule="exact"/>
        <w:jc w:val="center"/>
        <w:rPr>
          <w:color w:val="000000"/>
          <w:sz w:val="96"/>
          <w:szCs w:val="96"/>
        </w:rPr>
      </w:pPr>
      <w:r>
        <w:rPr>
          <w:rFonts w:hint="eastAsia" w:ascii="黑体" w:hAnsi="宋体" w:eastAsia="黑体"/>
          <w:color w:val="000000"/>
          <w:sz w:val="96"/>
          <w:szCs w:val="96"/>
        </w:rPr>
        <w:t>部门决算情况说明</w:t>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年度收支总计（含结转和结余）</w:t>
      </w:r>
      <w:r>
        <w:rPr>
          <w:rFonts w:hint="eastAsia" w:ascii="仿宋_GB2312" w:eastAsia="仿宋_GB2312" w:cs="DengXian-Regular"/>
          <w:sz w:val="32"/>
          <w:szCs w:val="32"/>
          <w:lang w:val="en-US" w:eastAsia="zh-CN"/>
        </w:rPr>
        <w:t>243.11</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w:t>
      </w:r>
      <w:r>
        <w:rPr>
          <w:rFonts w:hint="eastAsia" w:ascii="仿宋_GB2312" w:eastAsia="仿宋_GB2312" w:cs="DengXian-Regular"/>
          <w:sz w:val="32"/>
          <w:szCs w:val="32"/>
          <w:lang w:eastAsia="zh-CN"/>
        </w:rPr>
        <w:t>收入增加</w:t>
      </w:r>
      <w:r>
        <w:rPr>
          <w:rFonts w:hint="eastAsia" w:ascii="仿宋_GB2312" w:eastAsia="仿宋_GB2312" w:cs="DengXian-Regular"/>
          <w:sz w:val="32"/>
          <w:szCs w:val="32"/>
          <w:lang w:val="en-US" w:eastAsia="zh-CN"/>
        </w:rPr>
        <w:t>1.66万元，增长0.69%，</w:t>
      </w:r>
      <w:r>
        <w:rPr>
          <w:rFonts w:hint="eastAsia" w:ascii="仿宋_GB2312" w:eastAsia="仿宋_GB2312" w:cs="DengXian-Regular"/>
          <w:sz w:val="32"/>
          <w:szCs w:val="32"/>
        </w:rPr>
        <w:t>支</w:t>
      </w:r>
      <w:r>
        <w:rPr>
          <w:rFonts w:hint="eastAsia" w:ascii="仿宋_GB2312" w:eastAsia="仿宋_GB2312" w:cs="DengXian-Regular"/>
          <w:sz w:val="32"/>
          <w:szCs w:val="32"/>
          <w:lang w:eastAsia="zh-CN"/>
        </w:rPr>
        <w:t>出</w:t>
      </w:r>
      <w:r>
        <w:rPr>
          <w:rFonts w:hint="eastAsia" w:ascii="仿宋_GB2312" w:eastAsia="仿宋_GB2312" w:cs="DengXian-Regular"/>
          <w:sz w:val="32"/>
          <w:szCs w:val="32"/>
        </w:rPr>
        <w:t>增加</w:t>
      </w:r>
      <w:r>
        <w:rPr>
          <w:rFonts w:hint="eastAsia" w:ascii="仿宋_GB2312" w:eastAsia="仿宋_GB2312" w:cs="DengXian-Regular"/>
          <w:sz w:val="32"/>
          <w:szCs w:val="32"/>
          <w:lang w:val="en-US" w:eastAsia="zh-CN"/>
        </w:rPr>
        <w:t>4.74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2.05%</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人员经费支出</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line="584" w:lineRule="exact"/>
        <w:ind w:firstLine="640" w:firstLineChars="200"/>
        <w:jc w:val="left"/>
        <w:rPr>
          <w:rFonts w:hint="eastAsia" w:eastAsia="仿宋_GB2312"/>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243.11</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243.11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无其他收入。</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236.06</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236.06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项目支出</w:t>
      </w:r>
      <w:r>
        <w:rPr>
          <w:rFonts w:hint="eastAsia" w:ascii="仿宋_GB2312" w:eastAsia="仿宋_GB2312" w:cs="DengXian-Regular"/>
          <w:sz w:val="32"/>
          <w:szCs w:val="32"/>
          <w:lang w:eastAsia="zh-CN"/>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_GB2312" w:eastAsia="仿宋_GB2312" w:cs="DengXian-Regular"/>
          <w:sz w:val="32"/>
          <w:szCs w:val="32"/>
          <w:lang w:val="en-US" w:eastAsia="zh-CN"/>
        </w:rPr>
        <w:t>243.11</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1.66</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0.69</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人员经费</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236.06</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4.74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2.05</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人员经费支出</w:t>
      </w:r>
      <w:r>
        <w:rPr>
          <w:rFonts w:hint="eastAsia" w:ascii="仿宋_GB2312" w:eastAsia="仿宋_GB2312" w:cs="DengXian-Regular"/>
          <w:sz w:val="32"/>
          <w:szCs w:val="32"/>
        </w:rPr>
        <w:t>。</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_GB2312" w:eastAsia="仿宋_GB2312" w:cs="DengXian-Regular"/>
          <w:sz w:val="32"/>
          <w:szCs w:val="32"/>
          <w:lang w:val="en-US" w:eastAsia="zh-CN"/>
        </w:rPr>
        <w:t>232.43</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rPr>
        <w:t>，决算数大于预算数主要是</w:t>
      </w:r>
      <w:r>
        <w:rPr>
          <w:rFonts w:hint="eastAsia" w:ascii="仿宋_GB2312" w:eastAsia="仿宋_GB2312" w:cs="DengXian-Regular"/>
          <w:sz w:val="32"/>
          <w:szCs w:val="32"/>
          <w:lang w:eastAsia="zh-CN"/>
        </w:rPr>
        <w:t>上年结转</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236.06</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101.56</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3.63</w:t>
      </w:r>
      <w:r>
        <w:rPr>
          <w:rFonts w:hint="eastAsia" w:ascii="仿宋_GB2312" w:eastAsia="仿宋_GB2312" w:cs="DengXian-Regular"/>
          <w:sz w:val="32"/>
          <w:szCs w:val="32"/>
        </w:rPr>
        <w:t>万元，决算数大于预算数主要是</w:t>
      </w:r>
      <w:r>
        <w:rPr>
          <w:rFonts w:hint="eastAsia" w:ascii="仿宋_GB2312" w:eastAsia="仿宋_GB2312" w:cs="DengXian-Regular"/>
          <w:sz w:val="32"/>
          <w:szCs w:val="32"/>
          <w:lang w:eastAsia="zh-CN"/>
        </w:rPr>
        <w:t>人员经费支出增加</w:t>
      </w:r>
      <w:r>
        <w:rPr>
          <w:rFonts w:hint="eastAsia" w:ascii="仿宋_GB2312" w:eastAsia="仿宋_GB2312" w:cs="DengXian-Regular"/>
          <w:sz w:val="32"/>
          <w:szCs w:val="32"/>
        </w:rPr>
        <w:t>。</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236.06</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highlight w:val="none"/>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:185.17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78.44</w:t>
      </w:r>
      <w:r>
        <w:rPr>
          <w:rFonts w:ascii="仿宋_GB2312" w:eastAsia="仿宋_GB2312" w:cs="DengXian-Regular"/>
          <w:sz w:val="32"/>
          <w:szCs w:val="32"/>
        </w:rPr>
        <w:t>%</w:t>
      </w:r>
      <w:r>
        <w:rPr>
          <w:rFonts w:hint="eastAsia" w:ascii="仿宋_GB2312" w:eastAsia="仿宋_GB2312" w:cs="DengXian-Regular"/>
          <w:sz w:val="32"/>
          <w:szCs w:val="32"/>
        </w:rPr>
        <w:t>；社会保障和就业（类）支出</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40.72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17.25</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医疗卫生与计划生育支出</w:t>
      </w:r>
      <w:r>
        <w:rPr>
          <w:rFonts w:hint="eastAsia" w:ascii="仿宋_GB2312" w:eastAsia="仿宋_GB2312" w:cs="DengXian-Regular"/>
          <w:sz w:val="32"/>
          <w:szCs w:val="32"/>
          <w:lang w:val="en-US" w:eastAsia="zh-CN"/>
        </w:rPr>
        <w:t>3.81万元，占1.61%；</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6.37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2.7</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236.06</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142.51</w:t>
      </w:r>
      <w:r>
        <w:rPr>
          <w:rFonts w:hint="eastAsia" w:ascii="仿宋_GB2312" w:eastAsia="仿宋_GB2312" w:cs="DengXian-Regular"/>
          <w:sz w:val="32"/>
          <w:szCs w:val="32"/>
        </w:rPr>
        <w:t>万元，主要包括基本工资、津贴补贴、奖金、机关事业单位基本养老保险缴费、职工基本医疗保险缴费、住房公积金、其他社会保障缴费、其他工资福利支出、退休费、生活补助、奖励金、其他对个人和家庭的补助支出等；公用经费</w:t>
      </w:r>
      <w:r>
        <w:rPr>
          <w:rFonts w:hint="eastAsia" w:ascii="仿宋_GB2312" w:eastAsia="仿宋_GB2312" w:cs="DengXian-Regular"/>
          <w:sz w:val="32"/>
          <w:szCs w:val="32"/>
          <w:lang w:val="en-US" w:eastAsia="zh-CN"/>
        </w:rPr>
        <w:t>93.56</w:t>
      </w:r>
      <w:r>
        <w:rPr>
          <w:rFonts w:hint="eastAsia" w:ascii="仿宋_GB2312" w:eastAsia="仿宋_GB2312" w:cs="DengXian-Regular"/>
          <w:sz w:val="32"/>
          <w:szCs w:val="32"/>
        </w:rPr>
        <w:t>万元，主要包括办公费、印刷费、手续费、水费、邮电费、物业管理费、差旅费、维修（护）费、劳务费、委托业务费、工会经费、公务用车运行维护费、其他交通费用、其他商品和服务支出、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line="584" w:lineRule="exact"/>
        <w:ind w:firstLine="640" w:firstLineChars="200"/>
        <w:rPr>
          <w:rFonts w:eastAsia="仿宋_GB2312"/>
          <w:sz w:val="32"/>
          <w:szCs w:val="32"/>
          <w:highlight w:val="yellow"/>
        </w:rPr>
      </w:pPr>
      <w:r>
        <w:rPr>
          <w:rFonts w:hint="eastAsia" w:eastAsia="仿宋_GB2312"/>
          <w:sz w:val="32"/>
          <w:szCs w:val="32"/>
        </w:rPr>
        <w:t>本部门</w:t>
      </w:r>
      <w:r>
        <w:rPr>
          <w:rFonts w:eastAsia="仿宋_GB2312"/>
          <w:sz w:val="32"/>
          <w:szCs w:val="32"/>
        </w:rPr>
        <w:t>2018</w:t>
      </w:r>
      <w:r>
        <w:rPr>
          <w:rFonts w:hint="eastAsia" w:eastAsia="仿宋_GB2312"/>
          <w:sz w:val="32"/>
          <w:szCs w:val="32"/>
        </w:rPr>
        <w:t>年度一般公共预算财政拨款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经费支出共计</w:t>
      </w:r>
      <w:r>
        <w:rPr>
          <w:rFonts w:hint="eastAsia" w:eastAsia="仿宋_GB2312"/>
          <w:sz w:val="32"/>
          <w:szCs w:val="32"/>
          <w:lang w:val="en-US" w:eastAsia="zh-CN"/>
        </w:rPr>
        <w:t>0.4</w:t>
      </w:r>
      <w:r>
        <w:rPr>
          <w:rFonts w:hint="eastAsia" w:eastAsia="仿宋_GB2312"/>
          <w:sz w:val="32"/>
          <w:szCs w:val="32"/>
        </w:rPr>
        <w:t>万元，比年初预算减少</w:t>
      </w:r>
      <w:r>
        <w:rPr>
          <w:rFonts w:hint="eastAsia" w:eastAsia="仿宋_GB2312"/>
          <w:sz w:val="32"/>
          <w:szCs w:val="32"/>
          <w:lang w:val="en-US" w:eastAsia="zh-CN"/>
        </w:rPr>
        <w:t>1.5</w:t>
      </w:r>
      <w:r>
        <w:rPr>
          <w:rFonts w:hint="eastAsia" w:eastAsia="仿宋_GB2312"/>
          <w:sz w:val="32"/>
          <w:szCs w:val="32"/>
        </w:rPr>
        <w:t>万元，降低</w:t>
      </w:r>
      <w:r>
        <w:rPr>
          <w:rFonts w:hint="eastAsia" w:eastAsia="仿宋_GB2312"/>
          <w:sz w:val="32"/>
          <w:szCs w:val="32"/>
          <w:lang w:val="en-US" w:eastAsia="zh-CN"/>
        </w:rPr>
        <w:t>78.95</w:t>
      </w:r>
      <w:r>
        <w:rPr>
          <w:rFonts w:eastAsia="仿宋_GB2312"/>
          <w:sz w:val="32"/>
          <w:szCs w:val="32"/>
        </w:rPr>
        <w:t>%</w:t>
      </w:r>
      <w:r>
        <w:rPr>
          <w:rFonts w:hint="eastAsia" w:eastAsia="仿宋_GB2312"/>
          <w:sz w:val="32"/>
          <w:szCs w:val="32"/>
        </w:rPr>
        <w:t>，主要是</w:t>
      </w:r>
      <w:r>
        <w:rPr>
          <w:rFonts w:hint="eastAsia" w:eastAsia="仿宋_GB2312"/>
          <w:sz w:val="32"/>
          <w:szCs w:val="32"/>
          <w:lang w:eastAsia="zh-CN"/>
        </w:rPr>
        <w:t>压减公务用车运行维护费开支</w:t>
      </w:r>
      <w:r>
        <w:rPr>
          <w:rFonts w:hint="eastAsia" w:eastAsia="仿宋_GB2312"/>
          <w:sz w:val="32"/>
          <w:szCs w:val="32"/>
        </w:rPr>
        <w:t>；比</w:t>
      </w:r>
      <w:r>
        <w:rPr>
          <w:rFonts w:eastAsia="仿宋_GB2312"/>
          <w:sz w:val="32"/>
          <w:szCs w:val="32"/>
        </w:rPr>
        <w:t>2017</w:t>
      </w:r>
      <w:r>
        <w:rPr>
          <w:rFonts w:hint="eastAsia" w:eastAsia="仿宋_GB2312"/>
          <w:sz w:val="32"/>
          <w:szCs w:val="32"/>
        </w:rPr>
        <w:t>年度决算减少</w:t>
      </w:r>
      <w:r>
        <w:rPr>
          <w:rFonts w:hint="eastAsia" w:eastAsia="仿宋_GB2312"/>
          <w:sz w:val="32"/>
          <w:szCs w:val="32"/>
          <w:lang w:val="en-US" w:eastAsia="zh-CN"/>
        </w:rPr>
        <w:t>0.44</w:t>
      </w:r>
      <w:r>
        <w:rPr>
          <w:rFonts w:hint="eastAsia" w:eastAsia="仿宋_GB2312"/>
          <w:sz w:val="32"/>
          <w:szCs w:val="32"/>
        </w:rPr>
        <w:t>万元，降低</w:t>
      </w:r>
      <w:r>
        <w:rPr>
          <w:rFonts w:hint="eastAsia" w:eastAsia="仿宋_GB2312"/>
          <w:sz w:val="32"/>
          <w:szCs w:val="32"/>
          <w:lang w:val="en-US" w:eastAsia="zh-CN"/>
        </w:rPr>
        <w:t>52.38</w:t>
      </w:r>
      <w:r>
        <w:rPr>
          <w:rFonts w:eastAsia="仿宋_GB2312"/>
          <w:sz w:val="32"/>
          <w:szCs w:val="32"/>
        </w:rPr>
        <w:t>%</w:t>
      </w:r>
      <w:r>
        <w:rPr>
          <w:rFonts w:hint="eastAsia" w:eastAsia="仿宋_GB2312"/>
          <w:sz w:val="32"/>
          <w:szCs w:val="32"/>
        </w:rPr>
        <w:t>，主要是</w:t>
      </w:r>
      <w:r>
        <w:rPr>
          <w:rFonts w:hint="eastAsia" w:eastAsia="仿宋_GB2312"/>
          <w:sz w:val="32"/>
          <w:szCs w:val="32"/>
          <w:lang w:eastAsia="zh-CN"/>
        </w:rPr>
        <w:t>压减公务用车运行维护费</w:t>
      </w:r>
      <w:r>
        <w:rPr>
          <w:rFonts w:hint="eastAsia" w:eastAsia="仿宋_GB2312"/>
          <w:sz w:val="32"/>
          <w:szCs w:val="32"/>
        </w:rPr>
        <w:t>。具体情况如下：</w:t>
      </w:r>
    </w:p>
    <w:p>
      <w:pPr>
        <w:numPr>
          <w:ilvl w:val="0"/>
          <w:numId w:val="2"/>
        </w:numPr>
        <w:adjustRightInd w:val="0"/>
        <w:snapToGrid w:val="0"/>
        <w:spacing w:line="584" w:lineRule="exact"/>
        <w:ind w:firstLine="643" w:firstLineChars="200"/>
        <w:rPr>
          <w:rFonts w:hint="eastAsia" w:ascii="仿宋_GB2312" w:eastAsia="仿宋_GB2312" w:cs="DengXian-Regular"/>
          <w:sz w:val="32"/>
          <w:szCs w:val="32"/>
          <w:lang w:eastAsia="zh-CN"/>
        </w:rPr>
      </w:pPr>
      <w:r>
        <w:rPr>
          <w:rFonts w:hint="eastAsia" w:eastAsia="楷体_GB2312"/>
          <w:b/>
          <w:bCs/>
          <w:sz w:val="32"/>
          <w:szCs w:val="32"/>
        </w:rPr>
        <w:t>因公出国（境）费支出</w:t>
      </w:r>
      <w:r>
        <w:rPr>
          <w:rFonts w:hint="eastAsia" w:eastAsia="楷体_GB2312"/>
          <w:b/>
          <w:bCs/>
          <w:sz w:val="32"/>
          <w:szCs w:val="32"/>
          <w:lang w:val="en-US" w:eastAsia="zh-CN"/>
        </w:rPr>
        <w:t>0</w:t>
      </w:r>
      <w:r>
        <w:rPr>
          <w:rFonts w:hint="eastAsia" w:eastAsia="楷体_GB2312"/>
          <w:b/>
          <w:bCs/>
          <w:sz w:val="32"/>
          <w:szCs w:val="32"/>
        </w:rPr>
        <w:t>万元。</w:t>
      </w:r>
      <w:r>
        <w:rPr>
          <w:rFonts w:hint="eastAsia" w:eastAsia="仿宋_GB2312"/>
          <w:sz w:val="32"/>
          <w:szCs w:val="32"/>
        </w:rPr>
        <w:t>本部门</w:t>
      </w:r>
      <w:r>
        <w:rPr>
          <w:rFonts w:eastAsia="仿宋_GB2312"/>
          <w:sz w:val="32"/>
          <w:szCs w:val="32"/>
        </w:rPr>
        <w:t>2018</w:t>
      </w:r>
      <w:r>
        <w:rPr>
          <w:rFonts w:hint="eastAsia" w:eastAsia="仿宋_GB2312"/>
          <w:sz w:val="32"/>
          <w:szCs w:val="32"/>
        </w:rPr>
        <w:t>年度</w:t>
      </w:r>
      <w:r>
        <w:rPr>
          <w:rFonts w:hint="eastAsia" w:ascii="仿宋_GB2312" w:eastAsia="仿宋_GB2312" w:cs="DengXian-Regular"/>
          <w:sz w:val="32"/>
          <w:szCs w:val="32"/>
          <w:lang w:eastAsia="zh-CN"/>
        </w:rPr>
        <w:t>无此项支出。</w:t>
      </w:r>
    </w:p>
    <w:p>
      <w:pPr>
        <w:numPr>
          <w:ilvl w:val="0"/>
          <w:numId w:val="0"/>
        </w:numPr>
        <w:adjustRightInd w:val="0"/>
        <w:snapToGrid w:val="0"/>
        <w:spacing w:line="584" w:lineRule="exact"/>
        <w:ind w:firstLine="643" w:firstLineChars="200"/>
        <w:rPr>
          <w:rFonts w:eastAsia="仿宋_GB2312"/>
          <w:b/>
          <w:bCs/>
          <w:sz w:val="32"/>
          <w:szCs w:val="32"/>
        </w:rPr>
      </w:pPr>
      <w:r>
        <w:rPr>
          <w:rFonts w:hint="eastAsia" w:eastAsia="楷体_GB2312"/>
          <w:b/>
          <w:bCs/>
          <w:sz w:val="32"/>
          <w:szCs w:val="32"/>
        </w:rPr>
        <w:t>（二）公务用车购置及运行维护费支出</w:t>
      </w:r>
      <w:r>
        <w:rPr>
          <w:rFonts w:hint="eastAsia" w:eastAsia="楷体_GB2312"/>
          <w:b/>
          <w:bCs/>
          <w:sz w:val="32"/>
          <w:szCs w:val="32"/>
          <w:lang w:val="en-US" w:eastAsia="zh-CN"/>
        </w:rPr>
        <w:t>0.4</w:t>
      </w:r>
      <w:r>
        <w:rPr>
          <w:rFonts w:hint="eastAsia" w:eastAsia="楷体_GB2312"/>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年度公务用车购置及运行维护费比年初预算</w:t>
      </w:r>
      <w:r>
        <w:rPr>
          <w:rFonts w:hint="eastAsia" w:eastAsia="仿宋_GB2312"/>
          <w:sz w:val="32"/>
          <w:szCs w:val="32"/>
        </w:rPr>
        <w:t>减少</w:t>
      </w:r>
      <w:r>
        <w:rPr>
          <w:rFonts w:hint="eastAsia" w:eastAsia="仿宋_GB2312"/>
          <w:sz w:val="32"/>
          <w:szCs w:val="32"/>
          <w:lang w:val="en-US" w:eastAsia="zh-CN"/>
        </w:rPr>
        <w:t>1.5</w:t>
      </w:r>
      <w:r>
        <w:rPr>
          <w:rFonts w:hint="eastAsia" w:eastAsia="仿宋_GB2312"/>
          <w:sz w:val="32"/>
          <w:szCs w:val="32"/>
        </w:rPr>
        <w:t>万元</w:t>
      </w:r>
      <w:r>
        <w:rPr>
          <w:rFonts w:hint="eastAsia" w:ascii="仿宋_GB2312" w:eastAsia="仿宋_GB2312" w:cs="DengXian-Regular"/>
          <w:sz w:val="32"/>
          <w:szCs w:val="32"/>
        </w:rPr>
        <w:t>，</w:t>
      </w:r>
      <w:r>
        <w:rPr>
          <w:rFonts w:hint="eastAsia" w:eastAsia="仿宋_GB2312"/>
          <w:sz w:val="32"/>
          <w:szCs w:val="32"/>
        </w:rPr>
        <w:t>降低</w:t>
      </w:r>
      <w:r>
        <w:rPr>
          <w:rFonts w:hint="eastAsia" w:eastAsia="仿宋_GB2312"/>
          <w:sz w:val="32"/>
          <w:szCs w:val="32"/>
          <w:lang w:val="en-US" w:eastAsia="zh-CN"/>
        </w:rPr>
        <w:t>78.95</w:t>
      </w:r>
      <w:r>
        <w:rPr>
          <w:rFonts w:eastAsia="仿宋_GB2312"/>
          <w:sz w:val="32"/>
          <w:szCs w:val="32"/>
        </w:rPr>
        <w:t>%</w:t>
      </w:r>
      <w:r>
        <w:rPr>
          <w:rFonts w:hint="eastAsia" w:eastAsia="仿宋_GB2312"/>
          <w:sz w:val="32"/>
          <w:szCs w:val="32"/>
        </w:rPr>
        <w:t>，主要是</w:t>
      </w:r>
      <w:r>
        <w:rPr>
          <w:rFonts w:hint="eastAsia" w:eastAsia="仿宋_GB2312"/>
          <w:sz w:val="32"/>
          <w:szCs w:val="32"/>
          <w:lang w:eastAsia="zh-CN"/>
        </w:rPr>
        <w:t>压减公务用车运行维护费开支</w:t>
      </w:r>
      <w:r>
        <w:rPr>
          <w:rFonts w:hint="eastAsia" w:eastAsia="仿宋_GB2312"/>
          <w:sz w:val="32"/>
          <w:szCs w:val="32"/>
        </w:rPr>
        <w:t>；比</w:t>
      </w:r>
      <w:r>
        <w:rPr>
          <w:rFonts w:eastAsia="仿宋_GB2312"/>
          <w:sz w:val="32"/>
          <w:szCs w:val="32"/>
        </w:rPr>
        <w:t>2017</w:t>
      </w:r>
      <w:r>
        <w:rPr>
          <w:rFonts w:hint="eastAsia" w:eastAsia="仿宋_GB2312"/>
          <w:sz w:val="32"/>
          <w:szCs w:val="32"/>
        </w:rPr>
        <w:t>年度决算减少</w:t>
      </w:r>
      <w:r>
        <w:rPr>
          <w:rFonts w:hint="eastAsia" w:eastAsia="仿宋_GB2312"/>
          <w:sz w:val="32"/>
          <w:szCs w:val="32"/>
          <w:lang w:val="en-US" w:eastAsia="zh-CN"/>
        </w:rPr>
        <w:t>0.44</w:t>
      </w:r>
      <w:r>
        <w:rPr>
          <w:rFonts w:hint="eastAsia" w:eastAsia="仿宋_GB2312"/>
          <w:sz w:val="32"/>
          <w:szCs w:val="32"/>
        </w:rPr>
        <w:t>万元，降低</w:t>
      </w:r>
      <w:r>
        <w:rPr>
          <w:rFonts w:hint="eastAsia" w:eastAsia="仿宋_GB2312"/>
          <w:sz w:val="32"/>
          <w:szCs w:val="32"/>
          <w:lang w:val="en-US" w:eastAsia="zh-CN"/>
        </w:rPr>
        <w:t>52.38</w:t>
      </w:r>
      <w:r>
        <w:rPr>
          <w:rFonts w:eastAsia="仿宋_GB2312"/>
          <w:sz w:val="32"/>
          <w:szCs w:val="32"/>
        </w:rPr>
        <w:t>%</w:t>
      </w:r>
      <w:r>
        <w:rPr>
          <w:rFonts w:hint="eastAsia" w:eastAsia="仿宋_GB2312"/>
          <w:sz w:val="32"/>
          <w:szCs w:val="32"/>
        </w:rPr>
        <w:t>，主要是</w:t>
      </w:r>
      <w:r>
        <w:rPr>
          <w:rFonts w:hint="eastAsia" w:eastAsia="仿宋_GB2312"/>
          <w:sz w:val="32"/>
          <w:szCs w:val="32"/>
          <w:lang w:eastAsia="zh-CN"/>
        </w:rPr>
        <w:t>压减公务用车运行维护费</w:t>
      </w:r>
      <w:r>
        <w:rPr>
          <w:rFonts w:hint="eastAsia" w:eastAsia="仿宋_GB2312"/>
          <w:sz w:val="32"/>
          <w:szCs w:val="32"/>
        </w:rPr>
        <w:t>。</w:t>
      </w:r>
      <w:r>
        <w:rPr>
          <w:rFonts w:hint="eastAsia" w:eastAsia="仿宋_GB2312"/>
          <w:b/>
          <w:bCs/>
          <w:sz w:val="32"/>
          <w:szCs w:val="32"/>
        </w:rPr>
        <w:t>其中：</w:t>
      </w:r>
    </w:p>
    <w:p>
      <w:pPr>
        <w:adjustRightInd w:val="0"/>
        <w:snapToGrid w:val="0"/>
        <w:spacing w:line="584" w:lineRule="exact"/>
        <w:ind w:firstLine="643" w:firstLineChars="200"/>
        <w:rPr>
          <w:rFonts w:hint="eastAsia" w:eastAsia="仿宋_GB2312"/>
          <w:sz w:val="32"/>
          <w:szCs w:val="32"/>
          <w:lang w:eastAsia="zh-CN"/>
        </w:rPr>
      </w:pPr>
      <w:r>
        <w:rPr>
          <w:rFonts w:hint="eastAsia" w:eastAsia="仿宋_GB2312"/>
          <w:b/>
          <w:sz w:val="32"/>
          <w:szCs w:val="32"/>
        </w:rPr>
        <w:t>公务用车购置费支出</w:t>
      </w:r>
      <w:r>
        <w:rPr>
          <w:rFonts w:hint="eastAsia" w:eastAsia="仿宋_GB2312"/>
          <w:b/>
          <w:sz w:val="32"/>
          <w:szCs w:val="32"/>
          <w:lang w:val="en-US" w:eastAsia="zh-CN"/>
        </w:rPr>
        <w:t>0</w:t>
      </w:r>
      <w:r>
        <w:rPr>
          <w:rFonts w:hint="eastAsia" w:eastAsia="仿宋_GB2312"/>
          <w:b/>
          <w:sz w:val="32"/>
          <w:szCs w:val="32"/>
        </w:rPr>
        <w:t>万元。</w:t>
      </w:r>
      <w:r>
        <w:rPr>
          <w:rFonts w:hint="eastAsia" w:eastAsia="仿宋_GB2312"/>
          <w:sz w:val="32"/>
          <w:szCs w:val="32"/>
        </w:rPr>
        <w:t>本部门</w:t>
      </w:r>
      <w:r>
        <w:rPr>
          <w:rFonts w:eastAsia="仿宋_GB2312"/>
          <w:sz w:val="32"/>
          <w:szCs w:val="32"/>
        </w:rPr>
        <w:t>2018</w:t>
      </w:r>
      <w:r>
        <w:rPr>
          <w:rFonts w:hint="eastAsia" w:eastAsia="仿宋_GB2312"/>
          <w:sz w:val="32"/>
          <w:szCs w:val="32"/>
        </w:rPr>
        <w:t>年度</w:t>
      </w:r>
      <w:r>
        <w:rPr>
          <w:rFonts w:hint="eastAsia" w:eastAsia="仿宋_GB2312"/>
          <w:sz w:val="32"/>
          <w:szCs w:val="32"/>
          <w:lang w:eastAsia="zh-CN"/>
        </w:rPr>
        <w:t>无此项支出</w:t>
      </w:r>
    </w:p>
    <w:p>
      <w:pPr>
        <w:adjustRightInd w:val="0"/>
        <w:snapToGrid w:val="0"/>
        <w:spacing w:line="584" w:lineRule="exact"/>
        <w:ind w:firstLine="643" w:firstLineChars="200"/>
        <w:rPr>
          <w:rFonts w:hint="eastAsia" w:eastAsia="仿宋_GB2312"/>
          <w:sz w:val="32"/>
          <w:szCs w:val="32"/>
        </w:rPr>
      </w:pPr>
      <w:r>
        <w:rPr>
          <w:rFonts w:hint="eastAsia" w:eastAsia="仿宋_GB2312"/>
          <w:b/>
          <w:sz w:val="32"/>
          <w:szCs w:val="32"/>
        </w:rPr>
        <w:t>公务用车运行维护费支出</w:t>
      </w:r>
      <w:r>
        <w:rPr>
          <w:rFonts w:hint="eastAsia" w:eastAsia="仿宋_GB2312"/>
          <w:b/>
          <w:sz w:val="32"/>
          <w:szCs w:val="32"/>
          <w:lang w:val="en-US" w:eastAsia="zh-CN"/>
        </w:rPr>
        <w:t>0.4</w:t>
      </w:r>
      <w:r>
        <w:rPr>
          <w:rFonts w:hint="eastAsia" w:eastAsia="仿宋_GB2312"/>
          <w:b/>
          <w:sz w:val="32"/>
          <w:szCs w:val="32"/>
        </w:rPr>
        <w:t>万元。</w:t>
      </w:r>
      <w:r>
        <w:rPr>
          <w:rFonts w:hint="eastAsia" w:eastAsia="仿宋_GB2312"/>
          <w:sz w:val="32"/>
          <w:szCs w:val="32"/>
        </w:rPr>
        <w:t>本部门</w:t>
      </w:r>
      <w:r>
        <w:rPr>
          <w:rFonts w:eastAsia="仿宋_GB2312"/>
          <w:sz w:val="32"/>
          <w:szCs w:val="32"/>
        </w:rPr>
        <w:t>2018</w:t>
      </w:r>
      <w:r>
        <w:rPr>
          <w:rFonts w:hint="eastAsia" w:eastAsia="仿宋_GB2312"/>
          <w:sz w:val="32"/>
          <w:szCs w:val="32"/>
        </w:rPr>
        <w:t>年末单位公务用车保有量</w:t>
      </w:r>
      <w:r>
        <w:rPr>
          <w:rFonts w:hint="eastAsia" w:eastAsia="仿宋_GB2312"/>
          <w:sz w:val="32"/>
          <w:szCs w:val="32"/>
          <w:lang w:val="en-US" w:eastAsia="zh-CN"/>
        </w:rPr>
        <w:t>1</w:t>
      </w:r>
      <w:r>
        <w:rPr>
          <w:rFonts w:hint="eastAsia" w:eastAsia="仿宋_GB2312"/>
          <w:sz w:val="32"/>
          <w:szCs w:val="32"/>
        </w:rPr>
        <w:t>辆。公车运行维护费支出比年初预算减少</w:t>
      </w:r>
      <w:r>
        <w:rPr>
          <w:rFonts w:hint="eastAsia" w:eastAsia="仿宋_GB2312"/>
          <w:sz w:val="32"/>
          <w:szCs w:val="32"/>
          <w:lang w:val="en-US" w:eastAsia="zh-CN"/>
        </w:rPr>
        <w:t>1.5</w:t>
      </w:r>
      <w:r>
        <w:rPr>
          <w:rFonts w:hint="eastAsia" w:eastAsia="仿宋_GB2312"/>
          <w:sz w:val="32"/>
          <w:szCs w:val="32"/>
        </w:rPr>
        <w:t>万元，降低</w:t>
      </w:r>
      <w:r>
        <w:rPr>
          <w:rFonts w:hint="eastAsia" w:eastAsia="仿宋_GB2312"/>
          <w:sz w:val="32"/>
          <w:szCs w:val="32"/>
          <w:lang w:val="en-US" w:eastAsia="zh-CN"/>
        </w:rPr>
        <w:t>78.95</w:t>
      </w:r>
      <w:r>
        <w:rPr>
          <w:rFonts w:eastAsia="仿宋_GB2312"/>
          <w:sz w:val="32"/>
          <w:szCs w:val="32"/>
        </w:rPr>
        <w:t>%</w:t>
      </w:r>
      <w:r>
        <w:rPr>
          <w:rFonts w:hint="eastAsia" w:eastAsia="仿宋_GB2312"/>
          <w:sz w:val="32"/>
          <w:szCs w:val="32"/>
        </w:rPr>
        <w:t>，主要是</w:t>
      </w:r>
      <w:r>
        <w:rPr>
          <w:rFonts w:hint="eastAsia" w:eastAsia="仿宋_GB2312"/>
          <w:sz w:val="32"/>
          <w:szCs w:val="32"/>
          <w:lang w:eastAsia="zh-CN"/>
        </w:rPr>
        <w:t>压减公务用车运行维护费开支</w:t>
      </w:r>
      <w:r>
        <w:rPr>
          <w:rFonts w:hint="eastAsia" w:eastAsia="仿宋_GB2312"/>
          <w:sz w:val="32"/>
          <w:szCs w:val="32"/>
        </w:rPr>
        <w:t>；比</w:t>
      </w:r>
      <w:r>
        <w:rPr>
          <w:rFonts w:eastAsia="仿宋_GB2312"/>
          <w:sz w:val="32"/>
          <w:szCs w:val="32"/>
        </w:rPr>
        <w:t>2017</w:t>
      </w:r>
      <w:r>
        <w:rPr>
          <w:rFonts w:hint="eastAsia" w:eastAsia="仿宋_GB2312"/>
          <w:sz w:val="32"/>
          <w:szCs w:val="32"/>
        </w:rPr>
        <w:t>年度决算减少</w:t>
      </w:r>
      <w:r>
        <w:rPr>
          <w:rFonts w:hint="eastAsia" w:eastAsia="仿宋_GB2312"/>
          <w:sz w:val="32"/>
          <w:szCs w:val="32"/>
          <w:lang w:val="en-US" w:eastAsia="zh-CN"/>
        </w:rPr>
        <w:t>0.44</w:t>
      </w:r>
      <w:r>
        <w:rPr>
          <w:rFonts w:hint="eastAsia" w:eastAsia="仿宋_GB2312"/>
          <w:sz w:val="32"/>
          <w:szCs w:val="32"/>
        </w:rPr>
        <w:t>万元，降低</w:t>
      </w:r>
      <w:r>
        <w:rPr>
          <w:rFonts w:hint="eastAsia" w:eastAsia="仿宋_GB2312"/>
          <w:sz w:val="32"/>
          <w:szCs w:val="32"/>
          <w:lang w:val="en-US" w:eastAsia="zh-CN"/>
        </w:rPr>
        <w:t>52.38</w:t>
      </w:r>
      <w:r>
        <w:rPr>
          <w:rFonts w:eastAsia="仿宋_GB2312"/>
          <w:sz w:val="32"/>
          <w:szCs w:val="32"/>
        </w:rPr>
        <w:t>%</w:t>
      </w:r>
      <w:r>
        <w:rPr>
          <w:rFonts w:hint="eastAsia" w:eastAsia="仿宋_GB2312"/>
          <w:sz w:val="32"/>
          <w:szCs w:val="32"/>
        </w:rPr>
        <w:t>，主要是</w:t>
      </w:r>
      <w:r>
        <w:rPr>
          <w:rFonts w:hint="eastAsia" w:eastAsia="仿宋_GB2312"/>
          <w:sz w:val="32"/>
          <w:szCs w:val="32"/>
          <w:lang w:eastAsia="zh-CN"/>
        </w:rPr>
        <w:t>压减公务用车运行维护费，减少公务用车使用频率</w:t>
      </w:r>
      <w:r>
        <w:rPr>
          <w:rFonts w:hint="eastAsia" w:eastAsia="仿宋_GB2312"/>
          <w:sz w:val="32"/>
          <w:szCs w:val="32"/>
        </w:rPr>
        <w:t>。</w:t>
      </w:r>
    </w:p>
    <w:p>
      <w:pPr>
        <w:adjustRightInd w:val="0"/>
        <w:snapToGrid w:val="0"/>
        <w:spacing w:line="584" w:lineRule="exact"/>
        <w:ind w:firstLine="643" w:firstLineChars="200"/>
        <w:rPr>
          <w:rFonts w:hint="eastAsia" w:eastAsia="仿宋_GB2312"/>
          <w:sz w:val="32"/>
          <w:szCs w:val="32"/>
          <w:highlight w:val="yellow"/>
          <w:lang w:eastAsia="zh-CN"/>
        </w:rPr>
      </w:pPr>
      <w:r>
        <w:rPr>
          <w:rFonts w:hint="eastAsia" w:eastAsia="楷体_GB2312"/>
          <w:b/>
          <w:bCs/>
          <w:sz w:val="32"/>
          <w:szCs w:val="32"/>
        </w:rPr>
        <w:t>（三）公务接待费支出</w:t>
      </w:r>
      <w:r>
        <w:rPr>
          <w:rFonts w:hint="eastAsia" w:eastAsia="楷体_GB2312"/>
          <w:b/>
          <w:bCs/>
          <w:sz w:val="32"/>
          <w:szCs w:val="32"/>
          <w:lang w:val="en-US" w:eastAsia="zh-CN"/>
        </w:rPr>
        <w:t>0</w:t>
      </w:r>
      <w:r>
        <w:rPr>
          <w:rFonts w:hint="eastAsia" w:eastAsia="楷体_GB2312"/>
          <w:b/>
          <w:bCs/>
          <w:sz w:val="32"/>
          <w:szCs w:val="32"/>
        </w:rPr>
        <w:t>万元。</w:t>
      </w:r>
      <w:r>
        <w:rPr>
          <w:rFonts w:hint="eastAsia" w:eastAsia="仿宋_GB2312"/>
          <w:sz w:val="32"/>
          <w:szCs w:val="32"/>
        </w:rPr>
        <w:t>本部门</w:t>
      </w:r>
      <w:r>
        <w:rPr>
          <w:rFonts w:eastAsia="仿宋_GB2312"/>
          <w:sz w:val="32"/>
          <w:szCs w:val="32"/>
        </w:rPr>
        <w:t>2018</w:t>
      </w:r>
      <w:r>
        <w:rPr>
          <w:rFonts w:hint="eastAsia" w:eastAsia="仿宋_GB2312"/>
          <w:sz w:val="32"/>
          <w:szCs w:val="32"/>
        </w:rPr>
        <w:t>年度</w:t>
      </w:r>
      <w:r>
        <w:rPr>
          <w:rFonts w:hint="eastAsia" w:eastAsia="仿宋_GB2312"/>
          <w:sz w:val="32"/>
          <w:szCs w:val="32"/>
          <w:lang w:eastAsia="zh-CN"/>
        </w:rPr>
        <w:t>无此项支出。</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预算绩效管理工作开展情况。</w:t>
      </w:r>
    </w:p>
    <w:p>
      <w:pPr>
        <w:adjustRightInd w:val="0"/>
        <w:snapToGrid w:val="0"/>
        <w:spacing w:after="0" w:line="580" w:lineRule="exact"/>
        <w:ind w:firstLine="648" w:firstLineChars="200"/>
        <w:rPr>
          <w:rFonts w:hint="eastAsia" w:ascii="仿宋" w:hAnsi="仿宋" w:eastAsia="仿宋"/>
          <w:spacing w:val="2"/>
          <w:sz w:val="32"/>
          <w:szCs w:val="32"/>
        </w:rPr>
      </w:pPr>
      <w:r>
        <w:rPr>
          <w:rFonts w:hint="eastAsia" w:ascii="仿宋" w:hAnsi="仿宋" w:eastAsia="仿宋"/>
          <w:spacing w:val="2"/>
          <w:sz w:val="32"/>
          <w:szCs w:val="32"/>
        </w:rPr>
        <w:t>根</w:t>
      </w:r>
      <w:r>
        <w:rPr>
          <w:rFonts w:hint="eastAsia" w:ascii="仿宋" w:hAnsi="仿宋" w:eastAsia="仿宋"/>
          <w:sz w:val="32"/>
          <w:szCs w:val="32"/>
        </w:rPr>
        <w:t>据县</w:t>
      </w:r>
      <w:r>
        <w:rPr>
          <w:rFonts w:hint="eastAsia" w:ascii="仿宋" w:hAnsi="仿宋" w:eastAsia="仿宋"/>
          <w:spacing w:val="2"/>
          <w:sz w:val="32"/>
          <w:szCs w:val="32"/>
        </w:rPr>
        <w:t>财</w:t>
      </w:r>
      <w:r>
        <w:rPr>
          <w:rFonts w:hint="eastAsia" w:ascii="仿宋" w:hAnsi="仿宋" w:eastAsia="仿宋"/>
          <w:sz w:val="32"/>
          <w:szCs w:val="32"/>
        </w:rPr>
        <w:t>政预算</w:t>
      </w:r>
      <w:r>
        <w:rPr>
          <w:rFonts w:hint="eastAsia" w:ascii="仿宋" w:hAnsi="仿宋" w:eastAsia="仿宋"/>
          <w:spacing w:val="2"/>
          <w:sz w:val="32"/>
          <w:szCs w:val="32"/>
        </w:rPr>
        <w:t>绩</w:t>
      </w:r>
      <w:r>
        <w:rPr>
          <w:rFonts w:hint="eastAsia" w:ascii="仿宋" w:hAnsi="仿宋" w:eastAsia="仿宋"/>
          <w:sz w:val="32"/>
          <w:szCs w:val="32"/>
        </w:rPr>
        <w:t>效管</w:t>
      </w:r>
      <w:r>
        <w:rPr>
          <w:rFonts w:hint="eastAsia" w:ascii="仿宋" w:hAnsi="仿宋" w:eastAsia="仿宋"/>
          <w:spacing w:val="2"/>
          <w:sz w:val="32"/>
          <w:szCs w:val="32"/>
        </w:rPr>
        <w:t>理</w:t>
      </w:r>
      <w:r>
        <w:rPr>
          <w:rFonts w:hint="eastAsia" w:ascii="仿宋" w:hAnsi="仿宋" w:eastAsia="仿宋"/>
          <w:sz w:val="32"/>
          <w:szCs w:val="32"/>
        </w:rPr>
        <w:t>要求</w:t>
      </w:r>
      <w:r>
        <w:rPr>
          <w:rFonts w:hint="eastAsia" w:ascii="仿宋" w:hAnsi="仿宋" w:eastAsia="仿宋"/>
          <w:spacing w:val="-59"/>
          <w:sz w:val="32"/>
          <w:szCs w:val="32"/>
        </w:rPr>
        <w:t>，以</w:t>
      </w:r>
      <w:r>
        <w:rPr>
          <w:rFonts w:hint="eastAsia" w:ascii="仿宋" w:hAnsi="仿宋" w:eastAsia="仿宋"/>
          <w:spacing w:val="2"/>
          <w:sz w:val="32"/>
          <w:szCs w:val="32"/>
        </w:rPr>
        <w:t>“</w:t>
      </w:r>
      <w:r>
        <w:rPr>
          <w:rFonts w:hint="eastAsia" w:ascii="仿宋" w:hAnsi="仿宋" w:eastAsia="仿宋"/>
          <w:sz w:val="32"/>
          <w:szCs w:val="32"/>
        </w:rPr>
        <w:t>部门</w:t>
      </w:r>
      <w:r>
        <w:rPr>
          <w:rFonts w:hint="eastAsia" w:ascii="仿宋" w:hAnsi="仿宋" w:eastAsia="仿宋"/>
          <w:spacing w:val="2"/>
          <w:sz w:val="32"/>
          <w:szCs w:val="32"/>
        </w:rPr>
        <w:t>职</w:t>
      </w:r>
      <w:r>
        <w:rPr>
          <w:rFonts w:hint="eastAsia" w:ascii="仿宋" w:hAnsi="仿宋" w:eastAsia="仿宋"/>
          <w:sz w:val="32"/>
          <w:szCs w:val="32"/>
        </w:rPr>
        <w:t>责</w:t>
      </w:r>
      <w:r>
        <w:rPr>
          <w:rFonts w:hint="eastAsia" w:ascii="仿宋" w:hAnsi="仿宋" w:eastAsia="仿宋" w:cs="黑体"/>
          <w:spacing w:val="1"/>
          <w:w w:val="95"/>
          <w:sz w:val="32"/>
          <w:szCs w:val="32"/>
        </w:rPr>
        <w:t>—</w:t>
      </w:r>
      <w:r>
        <w:rPr>
          <w:rFonts w:hint="eastAsia" w:ascii="仿宋" w:hAnsi="仿宋" w:eastAsia="仿宋"/>
          <w:w w:val="95"/>
          <w:sz w:val="32"/>
          <w:szCs w:val="32"/>
        </w:rPr>
        <w:t>工作</w:t>
      </w:r>
      <w:r>
        <w:rPr>
          <w:rFonts w:hint="eastAsia" w:ascii="仿宋" w:hAnsi="仿宋" w:eastAsia="仿宋"/>
          <w:spacing w:val="1"/>
          <w:w w:val="95"/>
          <w:sz w:val="32"/>
          <w:szCs w:val="32"/>
        </w:rPr>
        <w:t>活</w:t>
      </w:r>
      <w:r>
        <w:rPr>
          <w:rFonts w:hint="eastAsia" w:ascii="仿宋" w:hAnsi="仿宋" w:eastAsia="仿宋"/>
          <w:w w:val="95"/>
          <w:sz w:val="32"/>
          <w:szCs w:val="32"/>
        </w:rPr>
        <w:t>动</w:t>
      </w:r>
      <w:r>
        <w:rPr>
          <w:rFonts w:hint="eastAsia" w:ascii="仿宋" w:hAnsi="仿宋" w:eastAsia="仿宋"/>
          <w:spacing w:val="-38"/>
          <w:w w:val="95"/>
          <w:sz w:val="32"/>
          <w:szCs w:val="32"/>
        </w:rPr>
        <w:t>”</w:t>
      </w:r>
      <w:r>
        <w:rPr>
          <w:rFonts w:hint="eastAsia" w:ascii="仿宋" w:hAnsi="仿宋" w:eastAsia="仿宋"/>
          <w:w w:val="95"/>
          <w:sz w:val="32"/>
          <w:szCs w:val="32"/>
        </w:rPr>
        <w:t>为</w:t>
      </w:r>
      <w:r>
        <w:rPr>
          <w:rFonts w:hint="eastAsia" w:ascii="仿宋" w:hAnsi="仿宋" w:eastAsia="仿宋"/>
          <w:spacing w:val="1"/>
          <w:w w:val="95"/>
          <w:sz w:val="32"/>
          <w:szCs w:val="32"/>
        </w:rPr>
        <w:t>依</w:t>
      </w:r>
      <w:r>
        <w:rPr>
          <w:rFonts w:hint="eastAsia" w:ascii="仿宋" w:hAnsi="仿宋" w:eastAsia="仿宋"/>
          <w:w w:val="95"/>
          <w:sz w:val="32"/>
          <w:szCs w:val="32"/>
        </w:rPr>
        <w:t>据</w:t>
      </w:r>
      <w:r>
        <w:rPr>
          <w:rFonts w:hint="eastAsia" w:ascii="仿宋" w:hAnsi="仿宋" w:eastAsia="仿宋"/>
          <w:spacing w:val="-38"/>
          <w:w w:val="95"/>
          <w:sz w:val="32"/>
          <w:szCs w:val="32"/>
        </w:rPr>
        <w:t>，</w:t>
      </w:r>
      <w:r>
        <w:rPr>
          <w:rFonts w:hint="eastAsia" w:ascii="仿宋" w:hAnsi="仿宋" w:eastAsia="仿宋"/>
          <w:spacing w:val="1"/>
          <w:w w:val="95"/>
          <w:sz w:val="32"/>
          <w:szCs w:val="32"/>
        </w:rPr>
        <w:t>确</w:t>
      </w:r>
      <w:r>
        <w:rPr>
          <w:rFonts w:hint="eastAsia" w:ascii="仿宋" w:hAnsi="仿宋" w:eastAsia="仿宋"/>
          <w:w w:val="95"/>
          <w:sz w:val="32"/>
          <w:szCs w:val="32"/>
        </w:rPr>
        <w:t>定部门</w:t>
      </w:r>
      <w:r>
        <w:rPr>
          <w:rFonts w:hint="eastAsia" w:ascii="仿宋" w:hAnsi="仿宋" w:eastAsia="仿宋"/>
          <w:spacing w:val="1"/>
          <w:w w:val="95"/>
          <w:sz w:val="32"/>
          <w:szCs w:val="32"/>
        </w:rPr>
        <w:t>预</w:t>
      </w:r>
      <w:r>
        <w:rPr>
          <w:rFonts w:hint="eastAsia" w:ascii="仿宋" w:hAnsi="仿宋" w:eastAsia="仿宋"/>
          <w:w w:val="95"/>
          <w:sz w:val="32"/>
          <w:szCs w:val="32"/>
        </w:rPr>
        <w:t>算项</w:t>
      </w:r>
      <w:r>
        <w:rPr>
          <w:rFonts w:hint="eastAsia" w:ascii="仿宋" w:hAnsi="仿宋" w:eastAsia="仿宋"/>
          <w:spacing w:val="1"/>
          <w:w w:val="95"/>
          <w:sz w:val="32"/>
          <w:szCs w:val="32"/>
        </w:rPr>
        <w:t>目</w:t>
      </w:r>
      <w:r>
        <w:rPr>
          <w:rFonts w:hint="eastAsia" w:ascii="仿宋" w:hAnsi="仿宋" w:eastAsia="仿宋"/>
          <w:w w:val="95"/>
          <w:sz w:val="32"/>
          <w:szCs w:val="32"/>
        </w:rPr>
        <w:t>和预算</w:t>
      </w:r>
      <w:r>
        <w:rPr>
          <w:rFonts w:hint="eastAsia" w:ascii="仿宋" w:hAnsi="仿宋" w:eastAsia="仿宋"/>
          <w:spacing w:val="1"/>
          <w:w w:val="95"/>
          <w:sz w:val="32"/>
          <w:szCs w:val="32"/>
        </w:rPr>
        <w:t>额</w:t>
      </w:r>
      <w:r>
        <w:rPr>
          <w:rFonts w:hint="eastAsia" w:ascii="仿宋" w:hAnsi="仿宋" w:eastAsia="仿宋"/>
          <w:w w:val="95"/>
          <w:sz w:val="32"/>
          <w:szCs w:val="32"/>
        </w:rPr>
        <w:t>度</w:t>
      </w:r>
      <w:r>
        <w:rPr>
          <w:rFonts w:hint="eastAsia" w:ascii="仿宋" w:hAnsi="仿宋" w:eastAsia="仿宋"/>
          <w:spacing w:val="-38"/>
          <w:w w:val="95"/>
          <w:sz w:val="32"/>
          <w:szCs w:val="32"/>
        </w:rPr>
        <w:t>，</w:t>
      </w:r>
      <w:r>
        <w:rPr>
          <w:rFonts w:hint="eastAsia" w:ascii="仿宋" w:hAnsi="仿宋" w:eastAsia="仿宋"/>
          <w:spacing w:val="1"/>
          <w:w w:val="95"/>
          <w:sz w:val="32"/>
          <w:szCs w:val="32"/>
        </w:rPr>
        <w:t>清</w:t>
      </w:r>
      <w:r>
        <w:rPr>
          <w:rFonts w:hint="eastAsia" w:ascii="仿宋" w:hAnsi="仿宋" w:eastAsia="仿宋"/>
          <w:w w:val="95"/>
          <w:sz w:val="32"/>
          <w:szCs w:val="32"/>
        </w:rPr>
        <w:t>晰描述</w:t>
      </w:r>
      <w:r>
        <w:rPr>
          <w:rFonts w:hint="eastAsia" w:ascii="仿宋" w:hAnsi="仿宋" w:eastAsia="仿宋"/>
          <w:spacing w:val="1"/>
          <w:w w:val="95"/>
          <w:sz w:val="32"/>
          <w:szCs w:val="32"/>
        </w:rPr>
        <w:t>预</w:t>
      </w:r>
      <w:r>
        <w:rPr>
          <w:rFonts w:hint="eastAsia" w:ascii="仿宋" w:hAnsi="仿宋" w:eastAsia="仿宋"/>
          <w:w w:val="95"/>
          <w:sz w:val="32"/>
          <w:szCs w:val="32"/>
        </w:rPr>
        <w:t>算项</w:t>
      </w:r>
      <w:r>
        <w:rPr>
          <w:rFonts w:hint="eastAsia" w:ascii="仿宋" w:hAnsi="仿宋" w:eastAsia="仿宋"/>
          <w:spacing w:val="1"/>
          <w:w w:val="95"/>
          <w:sz w:val="32"/>
          <w:szCs w:val="32"/>
        </w:rPr>
        <w:t>目</w:t>
      </w:r>
      <w:r>
        <w:rPr>
          <w:rFonts w:hint="eastAsia" w:ascii="仿宋" w:hAnsi="仿宋" w:eastAsia="仿宋"/>
          <w:w w:val="95"/>
          <w:sz w:val="32"/>
          <w:szCs w:val="32"/>
        </w:rPr>
        <w:t>开支范</w:t>
      </w:r>
      <w:r>
        <w:rPr>
          <w:rFonts w:hint="eastAsia" w:ascii="仿宋" w:hAnsi="仿宋" w:eastAsia="仿宋"/>
          <w:spacing w:val="1"/>
          <w:w w:val="95"/>
          <w:sz w:val="32"/>
          <w:szCs w:val="32"/>
        </w:rPr>
        <w:t>围</w:t>
      </w:r>
      <w:r>
        <w:rPr>
          <w:rFonts w:hint="eastAsia" w:ascii="仿宋" w:hAnsi="仿宋" w:eastAsia="仿宋"/>
          <w:w w:val="95"/>
          <w:sz w:val="32"/>
          <w:szCs w:val="32"/>
        </w:rPr>
        <w:t>和内</w:t>
      </w:r>
      <w:r>
        <w:rPr>
          <w:rFonts w:hint="eastAsia" w:ascii="仿宋" w:hAnsi="仿宋" w:eastAsia="仿宋"/>
          <w:spacing w:val="1"/>
          <w:w w:val="95"/>
          <w:sz w:val="32"/>
          <w:szCs w:val="32"/>
        </w:rPr>
        <w:t>容</w:t>
      </w:r>
      <w:r>
        <w:rPr>
          <w:rFonts w:hint="eastAsia" w:ascii="仿宋" w:hAnsi="仿宋" w:eastAsia="仿宋"/>
          <w:spacing w:val="-56"/>
          <w:w w:val="95"/>
          <w:sz w:val="32"/>
          <w:szCs w:val="32"/>
        </w:rPr>
        <w:t>，</w:t>
      </w:r>
      <w:r>
        <w:rPr>
          <w:rFonts w:hint="eastAsia" w:ascii="仿宋" w:hAnsi="仿宋" w:eastAsia="仿宋"/>
          <w:w w:val="95"/>
          <w:sz w:val="32"/>
          <w:szCs w:val="32"/>
        </w:rPr>
        <w:t>确定</w:t>
      </w:r>
      <w:r>
        <w:rPr>
          <w:rFonts w:hint="eastAsia" w:ascii="仿宋" w:hAnsi="仿宋" w:eastAsia="仿宋"/>
          <w:spacing w:val="1"/>
          <w:w w:val="95"/>
          <w:sz w:val="32"/>
          <w:szCs w:val="32"/>
        </w:rPr>
        <w:t>预</w:t>
      </w:r>
      <w:r>
        <w:rPr>
          <w:rFonts w:hint="eastAsia" w:ascii="仿宋" w:hAnsi="仿宋" w:eastAsia="仿宋"/>
          <w:w w:val="95"/>
          <w:sz w:val="32"/>
          <w:szCs w:val="32"/>
        </w:rPr>
        <w:t>算项</w:t>
      </w:r>
      <w:r>
        <w:rPr>
          <w:rFonts w:hint="eastAsia" w:ascii="仿宋" w:hAnsi="仿宋" w:eastAsia="仿宋"/>
          <w:spacing w:val="1"/>
          <w:w w:val="95"/>
          <w:sz w:val="32"/>
          <w:szCs w:val="32"/>
        </w:rPr>
        <w:t>目</w:t>
      </w:r>
      <w:r>
        <w:rPr>
          <w:rFonts w:hint="eastAsia" w:ascii="仿宋" w:hAnsi="仿宋" w:eastAsia="仿宋"/>
          <w:w w:val="95"/>
          <w:sz w:val="32"/>
          <w:szCs w:val="32"/>
        </w:rPr>
        <w:t>的绩效</w:t>
      </w:r>
      <w:r>
        <w:rPr>
          <w:rFonts w:hint="eastAsia" w:ascii="仿宋" w:hAnsi="仿宋" w:eastAsia="仿宋"/>
          <w:spacing w:val="1"/>
          <w:w w:val="95"/>
          <w:sz w:val="32"/>
          <w:szCs w:val="32"/>
        </w:rPr>
        <w:t>目</w:t>
      </w:r>
      <w:r>
        <w:rPr>
          <w:rFonts w:hint="eastAsia" w:ascii="仿宋" w:hAnsi="仿宋" w:eastAsia="仿宋"/>
          <w:w w:val="95"/>
          <w:sz w:val="32"/>
          <w:szCs w:val="32"/>
        </w:rPr>
        <w:t>标</w:t>
      </w:r>
      <w:r>
        <w:rPr>
          <w:rFonts w:hint="eastAsia" w:ascii="仿宋" w:hAnsi="仿宋" w:eastAsia="仿宋"/>
          <w:spacing w:val="-56"/>
          <w:w w:val="95"/>
          <w:sz w:val="32"/>
          <w:szCs w:val="32"/>
        </w:rPr>
        <w:t>、</w:t>
      </w:r>
      <w:r>
        <w:rPr>
          <w:rFonts w:hint="eastAsia" w:ascii="仿宋" w:hAnsi="仿宋" w:eastAsia="仿宋"/>
          <w:spacing w:val="1"/>
          <w:w w:val="95"/>
          <w:sz w:val="32"/>
          <w:szCs w:val="32"/>
        </w:rPr>
        <w:t>绩</w:t>
      </w:r>
      <w:r>
        <w:rPr>
          <w:rFonts w:hint="eastAsia" w:ascii="仿宋" w:hAnsi="仿宋" w:eastAsia="仿宋"/>
          <w:w w:val="95"/>
          <w:sz w:val="32"/>
          <w:szCs w:val="32"/>
        </w:rPr>
        <w:t>效指标</w:t>
      </w:r>
      <w:r>
        <w:rPr>
          <w:rFonts w:hint="eastAsia" w:ascii="仿宋" w:hAnsi="仿宋" w:eastAsia="仿宋"/>
          <w:spacing w:val="1"/>
          <w:w w:val="95"/>
          <w:sz w:val="32"/>
          <w:szCs w:val="32"/>
        </w:rPr>
        <w:t>和</w:t>
      </w:r>
      <w:r>
        <w:rPr>
          <w:rFonts w:hint="eastAsia" w:ascii="仿宋" w:hAnsi="仿宋" w:eastAsia="仿宋"/>
          <w:w w:val="95"/>
          <w:sz w:val="32"/>
          <w:szCs w:val="32"/>
        </w:rPr>
        <w:t>评价</w:t>
      </w:r>
      <w:r>
        <w:rPr>
          <w:rFonts w:hint="eastAsia" w:ascii="仿宋" w:hAnsi="仿宋" w:eastAsia="仿宋"/>
          <w:spacing w:val="1"/>
          <w:w w:val="95"/>
          <w:sz w:val="32"/>
          <w:szCs w:val="32"/>
        </w:rPr>
        <w:t>标</w:t>
      </w:r>
      <w:r>
        <w:rPr>
          <w:rFonts w:hint="eastAsia" w:ascii="仿宋" w:hAnsi="仿宋" w:eastAsia="仿宋"/>
          <w:w w:val="95"/>
          <w:sz w:val="32"/>
          <w:szCs w:val="32"/>
        </w:rPr>
        <w:t>准</w:t>
      </w:r>
      <w:r>
        <w:rPr>
          <w:rFonts w:hint="eastAsia" w:ascii="仿宋" w:hAnsi="仿宋" w:eastAsia="仿宋"/>
          <w:spacing w:val="-38"/>
          <w:w w:val="95"/>
          <w:sz w:val="32"/>
          <w:szCs w:val="32"/>
        </w:rPr>
        <w:t>，</w:t>
      </w:r>
      <w:r>
        <w:rPr>
          <w:rFonts w:hint="eastAsia" w:ascii="仿宋" w:hAnsi="仿宋" w:eastAsia="仿宋"/>
          <w:w w:val="95"/>
          <w:sz w:val="32"/>
          <w:szCs w:val="32"/>
        </w:rPr>
        <w:t>为</w:t>
      </w:r>
      <w:r>
        <w:rPr>
          <w:rFonts w:hint="eastAsia" w:ascii="仿宋" w:hAnsi="仿宋" w:eastAsia="仿宋"/>
          <w:spacing w:val="1"/>
          <w:w w:val="95"/>
          <w:sz w:val="32"/>
          <w:szCs w:val="32"/>
        </w:rPr>
        <w:t>预</w:t>
      </w:r>
      <w:r>
        <w:rPr>
          <w:rFonts w:hint="eastAsia" w:ascii="仿宋" w:hAnsi="仿宋" w:eastAsia="仿宋"/>
          <w:w w:val="95"/>
          <w:sz w:val="32"/>
          <w:szCs w:val="32"/>
        </w:rPr>
        <w:t>算绩</w:t>
      </w:r>
      <w:r>
        <w:rPr>
          <w:rFonts w:hint="eastAsia" w:ascii="仿宋" w:hAnsi="仿宋" w:eastAsia="仿宋"/>
          <w:spacing w:val="1"/>
          <w:w w:val="95"/>
          <w:sz w:val="32"/>
          <w:szCs w:val="32"/>
        </w:rPr>
        <w:t>效</w:t>
      </w:r>
      <w:r>
        <w:rPr>
          <w:rFonts w:hint="eastAsia" w:ascii="仿宋" w:hAnsi="仿宋" w:eastAsia="仿宋"/>
          <w:w w:val="95"/>
          <w:sz w:val="32"/>
          <w:szCs w:val="32"/>
        </w:rPr>
        <w:t>控制</w:t>
      </w:r>
      <w:r>
        <w:rPr>
          <w:rFonts w:hint="eastAsia" w:ascii="仿宋" w:hAnsi="仿宋" w:eastAsia="仿宋"/>
          <w:spacing w:val="-38"/>
          <w:w w:val="95"/>
          <w:sz w:val="32"/>
          <w:szCs w:val="32"/>
        </w:rPr>
        <w:t>、</w:t>
      </w:r>
      <w:r>
        <w:rPr>
          <w:rFonts w:hint="eastAsia" w:ascii="仿宋" w:hAnsi="仿宋" w:eastAsia="仿宋"/>
          <w:spacing w:val="1"/>
          <w:w w:val="95"/>
          <w:sz w:val="32"/>
          <w:szCs w:val="32"/>
        </w:rPr>
        <w:t>绩</w:t>
      </w:r>
      <w:r>
        <w:rPr>
          <w:rFonts w:hint="eastAsia" w:ascii="仿宋" w:hAnsi="仿宋" w:eastAsia="仿宋"/>
          <w:w w:val="95"/>
          <w:sz w:val="32"/>
          <w:szCs w:val="32"/>
        </w:rPr>
        <w:t>效分</w:t>
      </w:r>
      <w:r>
        <w:rPr>
          <w:rFonts w:hint="eastAsia" w:ascii="仿宋" w:hAnsi="仿宋" w:eastAsia="仿宋"/>
          <w:spacing w:val="1"/>
          <w:w w:val="95"/>
          <w:sz w:val="32"/>
          <w:szCs w:val="32"/>
        </w:rPr>
        <w:t>析</w:t>
      </w:r>
      <w:r>
        <w:rPr>
          <w:rFonts w:hint="eastAsia" w:ascii="仿宋" w:hAnsi="仿宋" w:eastAsia="仿宋"/>
          <w:spacing w:val="-38"/>
          <w:w w:val="95"/>
          <w:sz w:val="32"/>
          <w:szCs w:val="32"/>
        </w:rPr>
        <w:t>、</w:t>
      </w:r>
      <w:r>
        <w:rPr>
          <w:rFonts w:hint="eastAsia" w:ascii="仿宋" w:hAnsi="仿宋" w:eastAsia="仿宋"/>
          <w:w w:val="95"/>
          <w:sz w:val="32"/>
          <w:szCs w:val="32"/>
        </w:rPr>
        <w:t>绩效</w:t>
      </w:r>
      <w:r>
        <w:rPr>
          <w:rFonts w:hint="eastAsia" w:ascii="仿宋" w:hAnsi="仿宋" w:eastAsia="仿宋"/>
          <w:spacing w:val="1"/>
          <w:w w:val="95"/>
          <w:sz w:val="32"/>
          <w:szCs w:val="32"/>
        </w:rPr>
        <w:t>评</w:t>
      </w:r>
      <w:r>
        <w:rPr>
          <w:rFonts w:hint="eastAsia" w:ascii="仿宋" w:hAnsi="仿宋" w:eastAsia="仿宋"/>
          <w:w w:val="95"/>
          <w:sz w:val="32"/>
          <w:szCs w:val="32"/>
        </w:rPr>
        <w:t>价打</w:t>
      </w:r>
      <w:r>
        <w:rPr>
          <w:rFonts w:hint="eastAsia" w:ascii="仿宋" w:hAnsi="仿宋" w:eastAsia="仿宋"/>
          <w:spacing w:val="1"/>
          <w:w w:val="95"/>
          <w:sz w:val="32"/>
          <w:szCs w:val="32"/>
        </w:rPr>
        <w:t>下</w:t>
      </w:r>
      <w:r>
        <w:rPr>
          <w:rFonts w:hint="eastAsia" w:ascii="仿宋" w:hAnsi="仿宋" w:eastAsia="仿宋"/>
          <w:w w:val="95"/>
          <w:sz w:val="32"/>
          <w:szCs w:val="32"/>
        </w:rPr>
        <w:t>好的基</w:t>
      </w:r>
      <w:r>
        <w:rPr>
          <w:rFonts w:hint="eastAsia" w:ascii="仿宋" w:hAnsi="仿宋" w:eastAsia="仿宋"/>
          <w:spacing w:val="2"/>
          <w:sz w:val="32"/>
          <w:szCs w:val="32"/>
        </w:rPr>
        <w:t>础。</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keepNext w:val="0"/>
        <w:keepLines w:val="0"/>
        <w:pageBreakBefore w:val="0"/>
        <w:widowControl w:val="0"/>
        <w:kinsoku/>
        <w:wordWrap/>
        <w:overflowPunct/>
        <w:topLinePunct w:val="0"/>
        <w:autoSpaceDE/>
        <w:autoSpaceDN/>
        <w:bidi w:val="0"/>
        <w:spacing w:before="0" w:after="0" w:line="600" w:lineRule="exact"/>
        <w:ind w:right="0" w:rightChars="0" w:firstLine="643"/>
        <w:jc w:val="both"/>
        <w:textAlignment w:val="auto"/>
        <w:rPr>
          <w:rFonts w:ascii="楷体" w:hAnsi="楷体" w:eastAsia="楷体"/>
        </w:rPr>
      </w:pPr>
      <w:r>
        <w:rPr>
          <w:rFonts w:ascii="楷体" w:hAnsi="楷体" w:eastAsia="楷体"/>
        </w:rPr>
        <w:t>（一）机关运行经费情况</w:t>
      </w:r>
    </w:p>
    <w:p>
      <w:pPr>
        <w:keepNext w:val="0"/>
        <w:keepLines w:val="0"/>
        <w:pageBreakBefore w:val="0"/>
        <w:widowControl w:val="0"/>
        <w:kinsoku/>
        <w:wordWrap/>
        <w:overflowPunct/>
        <w:topLinePunct w:val="0"/>
        <w:autoSpaceDE/>
        <w:autoSpaceDN/>
        <w:bidi w:val="0"/>
        <w:adjustRightInd w:val="0"/>
        <w:snapToGrid w:val="0"/>
        <w:spacing w:after="0" w:line="600" w:lineRule="exact"/>
        <w:ind w:right="0" w:rightChars="0" w:firstLine="640"/>
        <w:jc w:val="both"/>
        <w:textAlignment w:val="auto"/>
        <w:rPr>
          <w:rFonts w:ascii="仿宋" w:hAnsi="仿宋" w:eastAsia="仿宋"/>
          <w:sz w:val="32"/>
          <w:szCs w:val="32"/>
        </w:rPr>
      </w:pPr>
      <w:bookmarkStart w:id="0" w:name="_GoBack"/>
      <w:bookmarkEnd w:id="0"/>
      <w:r>
        <w:rPr>
          <w:rFonts w:ascii="仿宋" w:hAnsi="仿宋" w:eastAsia="仿宋"/>
          <w:sz w:val="32"/>
          <w:szCs w:val="32"/>
        </w:rPr>
        <w:t>本部门201</w:t>
      </w:r>
      <w:r>
        <w:rPr>
          <w:rFonts w:hint="eastAsia" w:ascii="仿宋" w:hAnsi="仿宋" w:eastAsia="仿宋"/>
          <w:sz w:val="32"/>
          <w:szCs w:val="32"/>
          <w:lang w:val="en-US" w:eastAsia="zh-CN"/>
        </w:rPr>
        <w:t>8</w:t>
      </w:r>
      <w:r>
        <w:rPr>
          <w:rFonts w:ascii="仿宋" w:hAnsi="仿宋" w:eastAsia="仿宋"/>
          <w:sz w:val="32"/>
          <w:szCs w:val="32"/>
        </w:rPr>
        <w:t>年度机关运行经费支出</w:t>
      </w:r>
      <w:r>
        <w:rPr>
          <w:rFonts w:hint="eastAsia" w:ascii="仿宋_GB2312" w:eastAsia="仿宋_GB2312" w:cs="DengXian-Regular"/>
          <w:sz w:val="32"/>
          <w:szCs w:val="32"/>
          <w:lang w:val="en-US" w:eastAsia="zh-CN"/>
        </w:rPr>
        <w:t>93.56</w:t>
      </w:r>
      <w:r>
        <w:rPr>
          <w:rFonts w:ascii="仿宋" w:hAnsi="仿宋" w:eastAsia="仿宋"/>
          <w:sz w:val="32"/>
          <w:szCs w:val="32"/>
        </w:rPr>
        <w:t>万元，比201</w:t>
      </w:r>
      <w:r>
        <w:rPr>
          <w:rFonts w:hint="eastAsia" w:ascii="仿宋" w:hAnsi="仿宋" w:eastAsia="仿宋"/>
          <w:sz w:val="32"/>
          <w:szCs w:val="32"/>
          <w:lang w:val="en-US" w:eastAsia="zh-CN"/>
        </w:rPr>
        <w:t>7</w:t>
      </w:r>
      <w:r>
        <w:rPr>
          <w:rFonts w:ascii="仿宋" w:hAnsi="仿宋" w:eastAsia="仿宋"/>
          <w:sz w:val="32"/>
          <w:szCs w:val="32"/>
        </w:rPr>
        <w:t>年度减少</w:t>
      </w:r>
      <w:r>
        <w:rPr>
          <w:rFonts w:hint="eastAsia" w:ascii="仿宋" w:hAnsi="仿宋" w:eastAsia="仿宋"/>
          <w:sz w:val="32"/>
          <w:szCs w:val="32"/>
          <w:lang w:val="en-US" w:eastAsia="zh-CN"/>
        </w:rPr>
        <w:t>22.74</w:t>
      </w:r>
      <w:r>
        <w:rPr>
          <w:rFonts w:ascii="仿宋" w:hAnsi="仿宋" w:eastAsia="仿宋"/>
          <w:sz w:val="32"/>
          <w:szCs w:val="32"/>
        </w:rPr>
        <w:t>万元，降低</w:t>
      </w:r>
      <w:r>
        <w:rPr>
          <w:rFonts w:hint="eastAsia" w:ascii="仿宋" w:hAnsi="仿宋" w:eastAsia="仿宋"/>
          <w:sz w:val="32"/>
          <w:szCs w:val="32"/>
          <w:lang w:val="en-US" w:eastAsia="zh-CN"/>
        </w:rPr>
        <w:t>19.56</w:t>
      </w:r>
      <w:r>
        <w:rPr>
          <w:rFonts w:ascii="仿宋" w:hAnsi="仿宋" w:eastAsia="仿宋"/>
          <w:sz w:val="32"/>
          <w:szCs w:val="32"/>
        </w:rPr>
        <w:t>%。主要原因是</w:t>
      </w:r>
      <w:r>
        <w:rPr>
          <w:rFonts w:hint="eastAsia" w:ascii="仿宋" w:hAnsi="仿宋" w:eastAsia="仿宋"/>
          <w:sz w:val="32"/>
          <w:szCs w:val="32"/>
        </w:rPr>
        <w:t>积极</w:t>
      </w:r>
      <w:r>
        <w:rPr>
          <w:rFonts w:ascii="仿宋" w:hAnsi="仿宋" w:eastAsia="仿宋"/>
          <w:sz w:val="32"/>
          <w:szCs w:val="32"/>
        </w:rPr>
        <w:t>贯彻上级的各项方针和政策，严格各项管理，杜绝铺张浪费，努力提高资金的使用效率。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w:t>
      </w:r>
      <w:r>
        <w:rPr>
          <w:rFonts w:hint="eastAsia" w:ascii="楷体_GB2312" w:eastAsia="楷体_GB2312" w:cs="DengXian-Bold"/>
          <w:lang w:eastAsia="zh-CN"/>
        </w:rPr>
        <w:t>二</w:t>
      </w:r>
      <w:r>
        <w:rPr>
          <w:rFonts w:hint="eastAsia" w:ascii="楷体_GB2312" w:eastAsia="楷体_GB2312" w:cs="DengXian-Bold"/>
        </w:rPr>
        <w:t>）政府采购情况</w:t>
      </w:r>
    </w:p>
    <w:p>
      <w:pPr>
        <w:widowControl/>
        <w:spacing w:after="0" w:line="580" w:lineRule="exact"/>
        <w:ind w:firstLine="640" w:firstLineChars="200"/>
        <w:jc w:val="left"/>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政府采购支出</w:t>
      </w:r>
      <w:r>
        <w:rPr>
          <w:rFonts w:hint="eastAsia" w:ascii="仿宋_GB2312" w:eastAsia="仿宋_GB2312" w:cs="DengXian-Regular"/>
          <w:sz w:val="32"/>
          <w:szCs w:val="32"/>
          <w:lang w:eastAsia="zh-CN"/>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上年</w:t>
      </w:r>
      <w:r>
        <w:rPr>
          <w:rFonts w:hint="eastAsia" w:ascii="仿宋_GB2312" w:eastAsia="仿宋_GB2312" w:cs="DengXian-Regular"/>
          <w:sz w:val="32"/>
          <w:szCs w:val="32"/>
          <w:lang w:eastAsia="zh-CN"/>
        </w:rPr>
        <w:t>相同</w:t>
      </w:r>
      <w:r>
        <w:rPr>
          <w:rFonts w:hint="eastAsia" w:ascii="仿宋_GB2312" w:eastAsia="仿宋_GB2312" w:cs="DengXian-Regular"/>
          <w:sz w:val="32"/>
          <w:szCs w:val="32"/>
        </w:rPr>
        <w:t>。其中，机要通信用车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政府性基金、国有资本经营、政府采购</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公开</w:t>
      </w:r>
      <w:r>
        <w:rPr>
          <w:rFonts w:hint="eastAsia" w:ascii="仿宋_GB2312" w:eastAsia="仿宋_GB2312" w:cs="DengXian-Regular"/>
          <w:sz w:val="32"/>
          <w:szCs w:val="32"/>
          <w:lang w:val="en-US" w:eastAsia="zh-CN"/>
        </w:rPr>
        <w:t>08表、09表、10</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r>
        <w:rPr>
          <w:rFonts w:hint="eastAsia" w:ascii="黑体" w:hAnsi="宋体" w:eastAsia="黑体"/>
          <w:color w:val="000000"/>
          <w:sz w:val="96"/>
          <w:szCs w:val="96"/>
        </w:rPr>
        <w:t>第四部分</w:t>
      </w:r>
    </w:p>
    <w:p>
      <w:pPr>
        <w:widowControl/>
        <w:spacing w:line="1200" w:lineRule="exact"/>
        <w:jc w:val="center"/>
        <w:rPr>
          <w:color w:val="000000"/>
          <w:sz w:val="96"/>
          <w:szCs w:val="96"/>
        </w:rPr>
      </w:pPr>
      <w:r>
        <w:rPr>
          <w:rFonts w:hint="eastAsia" w:ascii="黑体" w:hAnsi="宋体" w:eastAsia="黑体"/>
          <w:color w:val="000000"/>
          <w:sz w:val="96"/>
          <w:szCs w:val="96"/>
        </w:rPr>
        <w:t>名词解释</w:t>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p>
    <w:p>
      <w:pPr>
        <w:ind w:firstLine="640" w:firstLineChars="200"/>
        <w:rPr>
          <w:rFonts w:ascii="仿宋_GB2312" w:hAnsi="宋体" w:eastAsia="仿宋_GB2312" w:cs="MS-UIGothic,Bold"/>
          <w:bCs/>
          <w:sz w:val="32"/>
          <w:szCs w:val="32"/>
        </w:rPr>
      </w:pPr>
      <w:r>
        <w:rPr>
          <w:rFonts w:ascii="仿宋_GB2312" w:hAnsi="宋体" w:eastAsia="仿宋_GB2312" w:cs="ArialUnicodeMS"/>
          <w:sz w:val="32"/>
          <w:szCs w:val="32"/>
          <w:highlight w:val="yellow"/>
        </w:rPr>
        <w:t>(</w:t>
      </w:r>
      <w:r>
        <w:rPr>
          <w:rFonts w:hint="eastAsia" w:ascii="仿宋_GB2312" w:hAnsi="宋体" w:eastAsia="仿宋_GB2312" w:cs="ArialUnicodeMS"/>
          <w:sz w:val="32"/>
          <w:szCs w:val="32"/>
          <w:highlight w:val="yellow"/>
        </w:rPr>
        <w:t>各部门应根据本部门实际情况</w:t>
      </w:r>
      <w:r>
        <w:rPr>
          <w:rFonts w:ascii="仿宋_GB2312" w:hAnsi="宋体" w:eastAsia="仿宋_GB2312" w:cs="ArialUnicodeMS"/>
          <w:sz w:val="32"/>
          <w:szCs w:val="32"/>
          <w:highlight w:val="yellow"/>
        </w:rPr>
        <w:t>,</w:t>
      </w:r>
      <w:r>
        <w:rPr>
          <w:rFonts w:hint="eastAsia" w:ascii="仿宋_GB2312" w:hAnsi="宋体" w:eastAsia="仿宋_GB2312" w:cs="ArialUnicodeMS"/>
          <w:sz w:val="32"/>
          <w:szCs w:val="32"/>
          <w:highlight w:val="yellow"/>
        </w:rPr>
        <w:t>对公开的本部门决算信息中相关专业性较强的名词进行必要解释和说明，包含但不限于以下名词解释。</w:t>
      </w:r>
      <w:r>
        <w:rPr>
          <w:rFonts w:ascii="仿宋_GB2312" w:hAnsi="宋体" w:eastAsia="仿宋_GB2312" w:cs="ArialUnicodeMS"/>
          <w:sz w:val="32"/>
          <w:szCs w:val="32"/>
          <w:highlight w:val="yellow"/>
        </w:rPr>
        <w:t>)</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ind w:firstLine="640" w:firstLineChars="200"/>
        <w:rPr>
          <w:rFonts w:ascii="仿宋_GB2312" w:hAnsi="Cambria" w:eastAsia="仿宋_GB2312" w:cs="ArialUnicodeMS"/>
          <w:kern w:val="0"/>
          <w:sz w:val="32"/>
          <w:szCs w:val="32"/>
        </w:rPr>
      </w:pPr>
    </w:p>
    <w:p>
      <w:pPr>
        <w:widowControl/>
        <w:spacing w:after="0" w:line="560" w:lineRule="exact"/>
        <w:rPr>
          <w:rFonts w:ascii="仿宋_GB2312" w:hAnsi="Cambria" w:eastAsia="仿宋_GB2312" w:cs="ArialUnicodeMS"/>
          <w:kern w:val="0"/>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83B06CE-C539-410A-9FB7-C7071ED0E39D}"/>
  </w:font>
  <w:font w:name="Arial">
    <w:panose1 w:val="020B0604020202020204"/>
    <w:charset w:val="01"/>
    <w:family w:val="swiss"/>
    <w:pitch w:val="default"/>
    <w:sig w:usb0="E0002AFF" w:usb1="C0007843" w:usb2="00000009" w:usb3="00000000" w:csb0="400001FF" w:csb1="FFFF0000"/>
    <w:embedRegular r:id="rId2" w:fontKey="{FAAEC3AE-0779-43F2-A005-05785BFC5F07}"/>
  </w:font>
  <w:font w:name="黑体">
    <w:panose1 w:val="02010609060101010101"/>
    <w:charset w:val="86"/>
    <w:family w:val="auto"/>
    <w:pitch w:val="default"/>
    <w:sig w:usb0="800002BF" w:usb1="38CF7CFA" w:usb2="00000016" w:usb3="00000000" w:csb0="00040001" w:csb1="00000000"/>
    <w:embedRegular r:id="rId3" w:fontKey="{87BAC7D2-2823-4A71-90A7-481FDA7B45BE}"/>
  </w:font>
  <w:font w:name="Courier New">
    <w:panose1 w:val="02070309020205020404"/>
    <w:charset w:val="01"/>
    <w:family w:val="modern"/>
    <w:pitch w:val="default"/>
    <w:sig w:usb0="E0002AFF" w:usb1="C0007843" w:usb2="00000009" w:usb3="00000000" w:csb0="400001FF" w:csb1="FFFF0000"/>
    <w:embedRegular r:id="rId4" w:fontKey="{AB2C2795-973F-448C-8224-33E8A032F193}"/>
  </w:font>
  <w:font w:name="Symbol">
    <w:panose1 w:val="05050102010706020507"/>
    <w:charset w:val="02"/>
    <w:family w:val="roman"/>
    <w:pitch w:val="default"/>
    <w:sig w:usb0="00000000" w:usb1="00000000" w:usb2="00000000" w:usb3="00000000" w:csb0="80000000" w:csb1="00000000"/>
    <w:embedRegular r:id="rId5" w:fontKey="{D461B43D-4EBD-40F3-8256-5B212128DAC5}"/>
  </w:font>
  <w:font w:name="Calibri">
    <w:panose1 w:val="020F0502020204030204"/>
    <w:charset w:val="00"/>
    <w:family w:val="swiss"/>
    <w:pitch w:val="default"/>
    <w:sig w:usb0="E00002FF" w:usb1="4000ACFF" w:usb2="00000001" w:usb3="00000000" w:csb0="2000019F" w:csb1="00000000"/>
    <w:embedRegular r:id="rId6" w:fontKey="{CE493D56-4B87-4731-873C-9A8691F55B10}"/>
  </w:font>
  <w:font w:name="Cambria">
    <w:panose1 w:val="02040503050406030204"/>
    <w:charset w:val="00"/>
    <w:family w:val="roman"/>
    <w:pitch w:val="default"/>
    <w:sig w:usb0="E00002FF" w:usb1="400004FF" w:usb2="00000000" w:usb3="00000000" w:csb0="2000019F" w:csb1="00000000"/>
    <w:embedRegular r:id="rId7" w:fontKey="{BBB58DF3-F691-4E1F-8B51-0045A422D900}"/>
  </w:font>
  <w:font w:name="楷体">
    <w:panose1 w:val="02010609060101010101"/>
    <w:charset w:val="86"/>
    <w:family w:val="modern"/>
    <w:pitch w:val="default"/>
    <w:sig w:usb0="800002BF" w:usb1="38CF7CFA" w:usb2="00000016" w:usb3="00000000" w:csb0="00040001" w:csb1="00000000"/>
    <w:embedRegular r:id="rId8" w:fontKey="{6F2C2BC6-E3A1-4FF5-A697-732382A25384}"/>
  </w:font>
  <w:font w:name="仿宋_GB2312">
    <w:altName w:val="仿宋"/>
    <w:panose1 w:val="00000000000000000000"/>
    <w:charset w:val="86"/>
    <w:family w:val="modern"/>
    <w:pitch w:val="default"/>
    <w:sig w:usb0="00000000" w:usb1="00000000" w:usb2="00000010" w:usb3="00000000" w:csb0="00040000" w:csb1="00000000"/>
    <w:embedRegular r:id="rId9" w:fontKey="{B8F1F96A-957E-4ADA-BE68-D7BC1407ECE4}"/>
  </w:font>
  <w:font w:name="仿宋">
    <w:panose1 w:val="02010609060101010101"/>
    <w:charset w:val="86"/>
    <w:family w:val="auto"/>
    <w:pitch w:val="default"/>
    <w:sig w:usb0="800002BF" w:usb1="38CF7CFA" w:usb2="00000016" w:usb3="00000000" w:csb0="00040001" w:csb1="00000000"/>
    <w:embedRegular r:id="rId10" w:fontKey="{34113DF9-276D-4A98-808D-1A758690F7EA}"/>
  </w:font>
  <w:font w:name="ArialUnicodeMS">
    <w:altName w:val="Malgun Gothic"/>
    <w:panose1 w:val="00000000000000000000"/>
    <w:charset w:val="81"/>
    <w:family w:val="auto"/>
    <w:pitch w:val="default"/>
    <w:sig w:usb0="00000000" w:usb1="00000000" w:usb2="00000010" w:usb3="00000000" w:csb0="00080000" w:csb1="00000000"/>
    <w:embedRegular r:id="rId11" w:fontKey="{B99AD785-51D2-4D15-8F70-67095B5A352C}"/>
  </w:font>
  <w:font w:name="MS-UIGothic,Bold">
    <w:altName w:val="Malgun Gothic"/>
    <w:panose1 w:val="00000000000000000000"/>
    <w:charset w:val="81"/>
    <w:family w:val="auto"/>
    <w:pitch w:val="default"/>
    <w:sig w:usb0="00000000" w:usb1="00000000" w:usb2="00000010" w:usb3="00000000" w:csb0="00080000" w:csb1="00000000"/>
    <w:embedRegular r:id="rId12" w:fontKey="{FE3CD7CD-6EFC-4504-AAE9-5D0BA623FB89}"/>
  </w:font>
  <w:font w:name="DengXian-Regular">
    <w:altName w:val="宋体"/>
    <w:panose1 w:val="00000000000000000000"/>
    <w:charset w:val="86"/>
    <w:family w:val="auto"/>
    <w:pitch w:val="default"/>
    <w:sig w:usb0="00000000" w:usb1="00000000" w:usb2="00000010" w:usb3="00000000" w:csb0="00040000" w:csb1="00000000"/>
    <w:embedRegular r:id="rId13" w:fontKey="{B47F6E6B-405E-4675-B483-5536F513F517}"/>
  </w:font>
  <w:font w:name="楷体_GB2312">
    <w:altName w:val="楷体"/>
    <w:panose1 w:val="00000000000000000000"/>
    <w:charset w:val="86"/>
    <w:family w:val="modern"/>
    <w:pitch w:val="default"/>
    <w:sig w:usb0="00000000" w:usb1="00000000" w:usb2="00000010" w:usb3="00000000" w:csb0="00040000" w:csb1="00000000"/>
    <w:embedRegular r:id="rId14" w:fontKey="{87B5FAD6-C707-4A99-B5E2-762B8D2BBEE2}"/>
  </w:font>
  <w:font w:name="DengXian-Bold">
    <w:altName w:val="宋体"/>
    <w:panose1 w:val="00000000000000000000"/>
    <w:charset w:val="86"/>
    <w:family w:val="auto"/>
    <w:pitch w:val="default"/>
    <w:sig w:usb0="00000000" w:usb1="00000000" w:usb2="00000010" w:usb3="00000000" w:csb0="00040000" w:csb1="00000000"/>
    <w:embedRegular r:id="rId15" w:fontKey="{9DFD875E-D848-4E78-BB6E-74078FBB9EB4}"/>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2AF" w:usb1="01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6DEAD169"/>
    <w:multiLevelType w:val="singleLevel"/>
    <w:tmpl w:val="6DEAD169"/>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0FAF"/>
    <w:rsid w:val="00022474"/>
    <w:rsid w:val="00024E7F"/>
    <w:rsid w:val="000475A0"/>
    <w:rsid w:val="00067693"/>
    <w:rsid w:val="000838C3"/>
    <w:rsid w:val="000B2446"/>
    <w:rsid w:val="000D7C65"/>
    <w:rsid w:val="000E2F81"/>
    <w:rsid w:val="00101F8D"/>
    <w:rsid w:val="00117946"/>
    <w:rsid w:val="00117E2C"/>
    <w:rsid w:val="00146C47"/>
    <w:rsid w:val="00152FB8"/>
    <w:rsid w:val="001605C5"/>
    <w:rsid w:val="00176658"/>
    <w:rsid w:val="0018239E"/>
    <w:rsid w:val="001B3410"/>
    <w:rsid w:val="001B7503"/>
    <w:rsid w:val="001C030D"/>
    <w:rsid w:val="001C4A84"/>
    <w:rsid w:val="001E5902"/>
    <w:rsid w:val="00233705"/>
    <w:rsid w:val="002420D3"/>
    <w:rsid w:val="00246D99"/>
    <w:rsid w:val="00257266"/>
    <w:rsid w:val="00262306"/>
    <w:rsid w:val="00275CA2"/>
    <w:rsid w:val="002A65A5"/>
    <w:rsid w:val="002C04C4"/>
    <w:rsid w:val="002D08B0"/>
    <w:rsid w:val="002D1AE3"/>
    <w:rsid w:val="002F2ECE"/>
    <w:rsid w:val="00327FFD"/>
    <w:rsid w:val="00341C8F"/>
    <w:rsid w:val="0035463A"/>
    <w:rsid w:val="00391D9D"/>
    <w:rsid w:val="003A6ECA"/>
    <w:rsid w:val="003B6C51"/>
    <w:rsid w:val="003C1413"/>
    <w:rsid w:val="003C549F"/>
    <w:rsid w:val="003D5A16"/>
    <w:rsid w:val="003E7DB3"/>
    <w:rsid w:val="00431175"/>
    <w:rsid w:val="004374A3"/>
    <w:rsid w:val="00493686"/>
    <w:rsid w:val="004B6E37"/>
    <w:rsid w:val="004C32BA"/>
    <w:rsid w:val="004C3BF7"/>
    <w:rsid w:val="004C68EF"/>
    <w:rsid w:val="00575922"/>
    <w:rsid w:val="005A3C0D"/>
    <w:rsid w:val="005A6C90"/>
    <w:rsid w:val="005B37E6"/>
    <w:rsid w:val="005E3FB0"/>
    <w:rsid w:val="005F4B66"/>
    <w:rsid w:val="005F5208"/>
    <w:rsid w:val="00615C31"/>
    <w:rsid w:val="00641318"/>
    <w:rsid w:val="0064405D"/>
    <w:rsid w:val="00695557"/>
    <w:rsid w:val="006D4EA7"/>
    <w:rsid w:val="0070012A"/>
    <w:rsid w:val="0070664B"/>
    <w:rsid w:val="007071B8"/>
    <w:rsid w:val="007155C2"/>
    <w:rsid w:val="007414DE"/>
    <w:rsid w:val="00760C0C"/>
    <w:rsid w:val="007905A9"/>
    <w:rsid w:val="007B0E8E"/>
    <w:rsid w:val="007B4D68"/>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BB7C98"/>
    <w:rsid w:val="00C12630"/>
    <w:rsid w:val="00C34562"/>
    <w:rsid w:val="00C3774E"/>
    <w:rsid w:val="00C57456"/>
    <w:rsid w:val="00C65387"/>
    <w:rsid w:val="00C87FAB"/>
    <w:rsid w:val="00C91FF7"/>
    <w:rsid w:val="00C92D15"/>
    <w:rsid w:val="00C94E53"/>
    <w:rsid w:val="00CE3FC3"/>
    <w:rsid w:val="00CE490E"/>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679C7"/>
    <w:rsid w:val="00F7711A"/>
    <w:rsid w:val="00F80C72"/>
    <w:rsid w:val="00FA0D58"/>
    <w:rsid w:val="00FA1580"/>
    <w:rsid w:val="00FA56F4"/>
    <w:rsid w:val="00FB4EDA"/>
    <w:rsid w:val="00FD3BD5"/>
    <w:rsid w:val="00FE3DC8"/>
    <w:rsid w:val="036711A8"/>
    <w:rsid w:val="04073F84"/>
    <w:rsid w:val="0B60750A"/>
    <w:rsid w:val="10686488"/>
    <w:rsid w:val="10DF728A"/>
    <w:rsid w:val="1264200E"/>
    <w:rsid w:val="12EC4AB1"/>
    <w:rsid w:val="141C5B77"/>
    <w:rsid w:val="17891ABB"/>
    <w:rsid w:val="18D8339D"/>
    <w:rsid w:val="1A21388F"/>
    <w:rsid w:val="1A570D2F"/>
    <w:rsid w:val="1E977E63"/>
    <w:rsid w:val="1EBC7C43"/>
    <w:rsid w:val="25B859BC"/>
    <w:rsid w:val="28FB0B8D"/>
    <w:rsid w:val="2D2B7942"/>
    <w:rsid w:val="2D46481D"/>
    <w:rsid w:val="2D856511"/>
    <w:rsid w:val="2E733B28"/>
    <w:rsid w:val="30653F17"/>
    <w:rsid w:val="31852B5A"/>
    <w:rsid w:val="32D01238"/>
    <w:rsid w:val="3D115201"/>
    <w:rsid w:val="3DFC59A8"/>
    <w:rsid w:val="3ECF245E"/>
    <w:rsid w:val="3FB96314"/>
    <w:rsid w:val="40CD7291"/>
    <w:rsid w:val="4526550C"/>
    <w:rsid w:val="4CE65C63"/>
    <w:rsid w:val="539704DF"/>
    <w:rsid w:val="53A44FAF"/>
    <w:rsid w:val="594329EC"/>
    <w:rsid w:val="5BEE1540"/>
    <w:rsid w:val="5DE61A5D"/>
    <w:rsid w:val="63C04243"/>
    <w:rsid w:val="649C01C7"/>
    <w:rsid w:val="66EE051B"/>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mbria" w:hAnsi="Cambria" w:eastAsia="黑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31</Pages>
  <Words>1657</Words>
  <Characters>9446</Characters>
  <Lines>0</Lines>
  <Paragraphs>0</Paragraphs>
  <TotalTime>1</TotalTime>
  <ScaleCrop>false</ScaleCrop>
  <LinksUpToDate>false</LinksUpToDate>
  <CharactersWithSpaces>0</CharactersWithSpaces>
  <Application>WPS Office_11.3.0.8775_F1E327BC-269C-435d-A152-05C5408002CA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2019-11-11T01:40:00Z</dcterms:created>
  <dc:creator>User</dc:creator>
  <cp:lastModifiedBy>Administrator</cp:lastModifiedBy>
  <cp:lastPrinted>2019-11-11T01:25:00Z</cp:lastPrinted>
  <dcterms:modified xsi:type="dcterms:W3CDTF">2021-05-18T03:01:19Z</dcterms:modified>
  <dc:subject>石家庄市xxx部门</dc:subject>
  <dc:title>2017年度部门决算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